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B7A" w:rsidRDefault="008F5B7A" w:rsidP="00556826">
      <w:pPr>
        <w:jc w:val="both"/>
      </w:pPr>
      <w:r>
        <w:t>David Youngberg</w:t>
      </w:r>
    </w:p>
    <w:p w:rsidR="0069202F" w:rsidRDefault="0069202F" w:rsidP="0069202F">
      <w:pPr>
        <w:jc w:val="both"/>
      </w:pPr>
      <w:r>
        <w:t>EC</w:t>
      </w:r>
      <w:r w:rsidR="0011138D">
        <w:t xml:space="preserve">ON </w:t>
      </w:r>
      <w:r>
        <w:t>201—Montgomery College</w:t>
      </w:r>
    </w:p>
    <w:p w:rsidR="0069202F" w:rsidRDefault="0069202F" w:rsidP="0069202F">
      <w:pPr>
        <w:jc w:val="both"/>
      </w:pPr>
    </w:p>
    <w:p w:rsidR="008F5B7A" w:rsidRPr="00E26695" w:rsidRDefault="008F5B7A" w:rsidP="00BF0741">
      <w:pPr>
        <w:jc w:val="center"/>
        <w:rPr>
          <w:b/>
          <w:smallCaps/>
          <w:sz w:val="32"/>
          <w:szCs w:val="32"/>
        </w:rPr>
      </w:pPr>
      <w:r>
        <w:rPr>
          <w:b/>
          <w:smallCaps/>
          <w:sz w:val="32"/>
          <w:szCs w:val="32"/>
        </w:rPr>
        <w:t xml:space="preserve">Lecture </w:t>
      </w:r>
      <w:r w:rsidR="005640CC">
        <w:rPr>
          <w:b/>
          <w:smallCaps/>
          <w:sz w:val="32"/>
          <w:szCs w:val="32"/>
        </w:rPr>
        <w:t>08</w:t>
      </w:r>
      <w:r>
        <w:rPr>
          <w:b/>
          <w:smallCaps/>
          <w:sz w:val="32"/>
          <w:szCs w:val="32"/>
        </w:rPr>
        <w:t xml:space="preserve">: </w:t>
      </w:r>
      <w:r w:rsidR="005640CC">
        <w:rPr>
          <w:b/>
          <w:smallCaps/>
          <w:sz w:val="32"/>
          <w:szCs w:val="32"/>
        </w:rPr>
        <w:t>Fiscal Policy</w:t>
      </w:r>
    </w:p>
    <w:p w:rsidR="008F5B7A" w:rsidRDefault="008F5B7A" w:rsidP="00E26695">
      <w:pPr>
        <w:jc w:val="center"/>
      </w:pPr>
    </w:p>
    <w:p w:rsidR="007541A4" w:rsidRDefault="00AF4AE4" w:rsidP="007541A4">
      <w:pPr>
        <w:numPr>
          <w:ilvl w:val="0"/>
          <w:numId w:val="4"/>
        </w:numPr>
        <w:jc w:val="both"/>
        <w:rPr>
          <w:sz w:val="28"/>
          <w:szCs w:val="28"/>
        </w:rPr>
      </w:pPr>
      <w:r>
        <w:rPr>
          <w:sz w:val="28"/>
          <w:szCs w:val="28"/>
        </w:rPr>
        <w:t>The Legacy of Great Depression</w:t>
      </w:r>
    </w:p>
    <w:p w:rsidR="00AF4AE4" w:rsidRDefault="00AF4AE4" w:rsidP="00AF4AE4">
      <w:pPr>
        <w:numPr>
          <w:ilvl w:val="1"/>
          <w:numId w:val="4"/>
        </w:numPr>
        <w:jc w:val="both"/>
        <w:rPr>
          <w:sz w:val="28"/>
          <w:szCs w:val="28"/>
        </w:rPr>
      </w:pPr>
      <w:r>
        <w:rPr>
          <w:sz w:val="28"/>
          <w:szCs w:val="28"/>
        </w:rPr>
        <w:t>The Great Depression—the largest economic downturn in U.S. history</w:t>
      </w:r>
      <w:r w:rsidR="009A5E52">
        <w:rPr>
          <w:sz w:val="28"/>
          <w:szCs w:val="28"/>
        </w:rPr>
        <w:t xml:space="preserve">—continues to be one of the most discussed economic events in economic circles. </w:t>
      </w:r>
      <w:r w:rsidR="004B7276">
        <w:rPr>
          <w:sz w:val="28"/>
          <w:szCs w:val="28"/>
        </w:rPr>
        <w:t>Many e</w:t>
      </w:r>
      <w:r w:rsidR="009A5E52">
        <w:rPr>
          <w:sz w:val="28"/>
          <w:szCs w:val="28"/>
        </w:rPr>
        <w:t>conomists, both now and then, see its cause originating from a drop in Ag</w:t>
      </w:r>
      <w:bookmarkStart w:id="0" w:name="_GoBack"/>
      <w:bookmarkEnd w:id="0"/>
      <w:r w:rsidR="009A5E52">
        <w:rPr>
          <w:sz w:val="28"/>
          <w:szCs w:val="28"/>
        </w:rPr>
        <w:t>gregate Demand.</w:t>
      </w:r>
    </w:p>
    <w:p w:rsidR="009A5E52" w:rsidRDefault="009A5E52" w:rsidP="00AF4AE4">
      <w:pPr>
        <w:numPr>
          <w:ilvl w:val="1"/>
          <w:numId w:val="4"/>
        </w:numPr>
        <w:jc w:val="both"/>
        <w:rPr>
          <w:sz w:val="28"/>
          <w:szCs w:val="28"/>
        </w:rPr>
      </w:pPr>
      <w:r>
        <w:rPr>
          <w:sz w:val="28"/>
          <w:szCs w:val="28"/>
        </w:rPr>
        <w:t>During the Great Depression, John Maynard Keynes suggested the government either cut taxes or increase spending to shift AD back out.</w:t>
      </w:r>
    </w:p>
    <w:p w:rsidR="009A5E52" w:rsidRDefault="009A5E52" w:rsidP="009A5E52">
      <w:pPr>
        <w:numPr>
          <w:ilvl w:val="2"/>
          <w:numId w:val="4"/>
        </w:numPr>
        <w:jc w:val="both"/>
        <w:rPr>
          <w:sz w:val="28"/>
          <w:szCs w:val="28"/>
        </w:rPr>
      </w:pPr>
      <w:r>
        <w:rPr>
          <w:sz w:val="28"/>
          <w:szCs w:val="28"/>
        </w:rPr>
        <w:t>For this to work, lower taxes cannot be offset by reducing spending, nor can increased spending be offset by increasing taxes.</w:t>
      </w:r>
    </w:p>
    <w:p w:rsidR="009A5E52" w:rsidRDefault="009A5E52" w:rsidP="009A5E52">
      <w:pPr>
        <w:numPr>
          <w:ilvl w:val="2"/>
          <w:numId w:val="4"/>
        </w:numPr>
        <w:jc w:val="both"/>
        <w:rPr>
          <w:sz w:val="28"/>
          <w:szCs w:val="28"/>
        </w:rPr>
      </w:pPr>
      <w:r>
        <w:rPr>
          <w:sz w:val="28"/>
          <w:szCs w:val="28"/>
        </w:rPr>
        <w:t xml:space="preserve">Thus, this is referred as </w:t>
      </w:r>
      <w:r>
        <w:rPr>
          <w:i/>
          <w:sz w:val="28"/>
          <w:szCs w:val="28"/>
        </w:rPr>
        <w:t>deficit spending</w:t>
      </w:r>
      <w:r>
        <w:rPr>
          <w:sz w:val="28"/>
          <w:szCs w:val="28"/>
        </w:rPr>
        <w:t>. In theory, it works like this:</w:t>
      </w:r>
    </w:p>
    <w:p w:rsidR="007541A4" w:rsidRDefault="003C6564" w:rsidP="007541A4">
      <w:pPr>
        <w:ind w:left="1440"/>
        <w:jc w:val="both"/>
        <w:rPr>
          <w:sz w:val="28"/>
          <w:szCs w:val="28"/>
        </w:rPr>
      </w:pPr>
      <w:r>
        <w:rPr>
          <w:sz w:val="28"/>
          <w:szCs w:val="28"/>
        </w:rPr>
      </w:r>
      <w:r>
        <w:rPr>
          <w:sz w:val="28"/>
          <w:szCs w:val="28"/>
        </w:rPr>
        <w:pict>
          <v:group id="_x0000_s1127" editas="canvas" style="width:187.05pt;height:186.95pt;mso-position-horizontal-relative:char;mso-position-vertical-relative:line" coordorigin="2680,5914" coordsize="2878,287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8" type="#_x0000_t75" style="position:absolute;left:2680;top:5914;width:2878;height:2876" o:preferrelative="f">
              <v:fill o:detectmouseclick="t"/>
              <v:path o:extrusionok="t" o:connecttype="none"/>
              <o:lock v:ext="edit" text="t"/>
            </v:shape>
            <v:shapetype id="_x0000_t32" coordsize="21600,21600" o:spt="32" o:oned="t" path="m,l21600,21600e" filled="f">
              <v:path arrowok="t" fillok="f" o:connecttype="none"/>
              <o:lock v:ext="edit" shapetype="t"/>
            </v:shapetype>
            <v:shape id="_x0000_s1129" type="#_x0000_t32" style="position:absolute;left:2968;top:6058;width:0;height:2445" o:connectortype="straight" strokeweight="1.5pt"/>
            <v:shape id="_x0000_s1130" type="#_x0000_t32" style="position:absolute;left:2968;top:8503;width:2445;height:1" o:connectortype="straight" strokeweight="1.5pt"/>
            <v:shapetype id="_x0000_t202" coordsize="21600,21600" o:spt="202" path="m,l,21600r21600,l21600,xe">
              <v:stroke joinstyle="miter"/>
              <v:path gradientshapeok="t" o:connecttype="rect"/>
            </v:shapetype>
            <v:shape id="_x0000_s1131" type="#_x0000_t202" style="position:absolute;left:5269;top:8503;width:289;height:287;v-text-anchor:middle" filled="f" stroked="f">
              <v:textbox style="mso-next-textbox:#_x0000_s1131" inset="0,0,0,0">
                <w:txbxContent>
                  <w:p w:rsidR="007541A4" w:rsidRPr="00833B27" w:rsidRDefault="007541A4" w:rsidP="00596CBF">
                    <w:pPr>
                      <w:jc w:val="center"/>
                      <w:rPr>
                        <w:sz w:val="28"/>
                        <w:szCs w:val="28"/>
                      </w:rPr>
                    </w:pPr>
                    <w:r>
                      <w:rPr>
                        <w:sz w:val="28"/>
                        <w:szCs w:val="28"/>
                      </w:rPr>
                      <w:t>Y</w:t>
                    </w:r>
                    <w:r>
                      <w:rPr>
                        <w:sz w:val="28"/>
                        <w:szCs w:val="28"/>
                        <w:vertAlign w:val="subscript"/>
                      </w:rPr>
                      <w:t>R</w:t>
                    </w:r>
                  </w:p>
                </w:txbxContent>
              </v:textbox>
            </v:shape>
            <v:shape id="_x0000_s1132" type="#_x0000_t32" style="position:absolute;left:4694;top:6202;width:2;height:2301;flip:y" o:connectortype="straight" strokeweight="1.5pt"/>
            <v:shape id="_x0000_s1133" type="#_x0000_t32" style="position:absolute;left:3058;top:6729;width:1780;height:1770" o:connectortype="straight" strokeweight="1.5pt"/>
            <v:shape id="_x0000_s1134" type="#_x0000_t202" style="position:absolute;left:4733;top:8215;width:536;height:284;v-text-anchor:middle" filled="f" stroked="f">
              <v:textbox style="mso-next-textbox:#_x0000_s1134" inset="0,0,0,0">
                <w:txbxContent>
                  <w:p w:rsidR="007541A4" w:rsidRPr="00833B27" w:rsidRDefault="007541A4" w:rsidP="00596CBF">
                    <w:pPr>
                      <w:jc w:val="center"/>
                      <w:rPr>
                        <w:sz w:val="28"/>
                        <w:szCs w:val="28"/>
                      </w:rPr>
                    </w:pPr>
                    <w:r>
                      <w:rPr>
                        <w:sz w:val="28"/>
                        <w:szCs w:val="28"/>
                      </w:rPr>
                      <w:t>AD</w:t>
                    </w:r>
                    <w:r w:rsidR="00AF4AE4">
                      <w:rPr>
                        <w:sz w:val="28"/>
                        <w:szCs w:val="28"/>
                      </w:rPr>
                      <w:t>’</w:t>
                    </w:r>
                  </w:p>
                </w:txbxContent>
              </v:textbox>
            </v:shape>
            <v:shape id="_x0000_s1135" type="#_x0000_t202" style="position:absolute;left:4258;top:5914;width:634;height:285;v-text-anchor:middle" filled="f" stroked="f">
              <v:textbox style="mso-next-textbox:#_x0000_s1135" inset="0,0,0,0">
                <w:txbxContent>
                  <w:p w:rsidR="007541A4" w:rsidRPr="00833B27" w:rsidRDefault="007541A4" w:rsidP="00596CBF">
                    <w:pPr>
                      <w:jc w:val="center"/>
                      <w:rPr>
                        <w:sz w:val="28"/>
                        <w:szCs w:val="28"/>
                      </w:rPr>
                    </w:pPr>
                    <w:r>
                      <w:rPr>
                        <w:sz w:val="28"/>
                        <w:szCs w:val="28"/>
                      </w:rPr>
                      <w:t>LRAS</w:t>
                    </w:r>
                  </w:p>
                </w:txbxContent>
              </v:textbox>
            </v:shape>
            <v:shape id="_x0000_s1136" type="#_x0000_t32" style="position:absolute;left:2964;top:7925;width:1294;height:1;flip:x" o:connectortype="straight">
              <v:stroke dashstyle="longDash"/>
            </v:shape>
            <v:shape id="_x0000_s1137" type="#_x0000_t32" style="position:absolute;left:2968;top:7496;width:1725;height:2;flip:x" o:connectortype="straight">
              <v:stroke dashstyle="longDash"/>
            </v:shape>
            <v:shape id="_x0000_s1138" type="#_x0000_t32" style="position:absolute;left:3385;top:6729;width:432;height:1" o:connectortype="straight">
              <v:stroke startarrow="block"/>
            </v:shape>
            <v:shape id="_x0000_s1139" type="#_x0000_t32" style="position:absolute;left:3025;top:7496;width:1;height:429;flip:x y" o:connectortype="straight">
              <v:stroke startarrow="block"/>
            </v:shape>
            <v:shape id="_x0000_s1140" type="#_x0000_t32" style="position:absolute;left:3255;top:6058;width:2014;height:2014" o:connectortype="straight" strokeweight="1.5pt"/>
            <v:shape id="_x0000_s1141" type="#_x0000_t202" style="position:absolute;left:2726;top:6519;width:186;height:1281;v-text-anchor:middle" filled="f" stroked="f">
              <v:textbox style="layout-flow:vertical;mso-layout-flow-alt:bottom-to-top;mso-next-textbox:#_x0000_s1141" inset="0,0,0,0">
                <w:txbxContent>
                  <w:p w:rsidR="007541A4" w:rsidRPr="00833B27" w:rsidRDefault="007541A4" w:rsidP="00596CBF">
                    <w:pPr>
                      <w:jc w:val="center"/>
                      <w:rPr>
                        <w:sz w:val="28"/>
                        <w:szCs w:val="28"/>
                      </w:rPr>
                    </w:pPr>
                    <w:r>
                      <w:rPr>
                        <w:sz w:val="28"/>
                        <w:szCs w:val="28"/>
                      </w:rPr>
                      <w:t>Price level</w:t>
                    </w:r>
                  </w:p>
                </w:txbxContent>
              </v:textbox>
            </v:shape>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174" type="#_x0000_t19" style="position:absolute;left:3320;top:6555;width:1683;height:1639;rotation:90" strokeweight="1.5pt"/>
            <v:shape id="_x0000_s1176" type="#_x0000_t202" style="position:absolute;left:4694;top:6202;width:626;height:284;v-text-anchor:middle" filled="f" stroked="f">
              <v:textbox style="mso-next-textbox:#_x0000_s1176" inset="0,0,0,0">
                <w:txbxContent>
                  <w:p w:rsidR="002A13D6" w:rsidRPr="00833B27" w:rsidRDefault="002A13D6" w:rsidP="00596CBF">
                    <w:pPr>
                      <w:jc w:val="center"/>
                      <w:rPr>
                        <w:sz w:val="28"/>
                        <w:szCs w:val="28"/>
                      </w:rPr>
                    </w:pPr>
                    <w:r>
                      <w:rPr>
                        <w:sz w:val="28"/>
                        <w:szCs w:val="28"/>
                      </w:rPr>
                      <w:t>SRAS</w:t>
                    </w:r>
                  </w:p>
                </w:txbxContent>
              </v:textbox>
            </v:shape>
            <v:shape id="_x0000_s1158" type="#_x0000_t202" style="position:absolute;left:4981;top:8032;width:535;height:283;v-text-anchor:middle" filled="f" stroked="f">
              <v:textbox style="mso-next-textbox:#_x0000_s1158" inset="0,0,0,0">
                <w:txbxContent>
                  <w:p w:rsidR="007541A4" w:rsidRPr="00833B27" w:rsidRDefault="007541A4" w:rsidP="00596CBF">
                    <w:pPr>
                      <w:jc w:val="center"/>
                      <w:rPr>
                        <w:sz w:val="28"/>
                        <w:szCs w:val="28"/>
                      </w:rPr>
                    </w:pPr>
                    <w:r>
                      <w:rPr>
                        <w:sz w:val="28"/>
                        <w:szCs w:val="28"/>
                      </w:rPr>
                      <w:t>AD</w:t>
                    </w:r>
                  </w:p>
                </w:txbxContent>
              </v:textbox>
            </v:shape>
            <v:shape id="_x0000_s1199" type="#_x0000_t32" style="position:absolute;left:4258;top:7929;width:1;height:575" o:connectortype="straight">
              <v:stroke dashstyle="longDash"/>
            </v:shape>
            <v:shape id="_x0000_s1200" type="#_x0000_t32" style="position:absolute;left:4273;top:8443;width:423;height:1" o:connectortype="straight">
              <v:stroke startarrow="block"/>
            </v:shape>
            <v:shape id="_x0000_s1203" type="#_x0000_t202" style="position:absolute;left:2775;top:8504;width:1584;height:251;v-text-anchor:middle" filled="f" stroked="f">
              <v:textbox style="mso-next-textbox:#_x0000_s1203" inset="0,0,0,0">
                <w:txbxContent>
                  <w:p w:rsidR="00596CBF" w:rsidRPr="00833B27" w:rsidRDefault="00AF4AE4" w:rsidP="00596CBF">
                    <w:pPr>
                      <w:jc w:val="center"/>
                      <w:rPr>
                        <w:sz w:val="28"/>
                        <w:szCs w:val="28"/>
                      </w:rPr>
                    </w:pPr>
                    <w:r>
                      <w:rPr>
                        <w:sz w:val="28"/>
                        <w:szCs w:val="28"/>
                      </w:rPr>
                      <w:t>Recessionary</w:t>
                    </w:r>
                    <w:r w:rsidR="00596CBF">
                      <w:rPr>
                        <w:sz w:val="28"/>
                        <w:szCs w:val="28"/>
                      </w:rPr>
                      <w:t xml:space="preserve"> Gap</w:t>
                    </w:r>
                  </w:p>
                </w:txbxContent>
              </v:textbox>
            </v:shape>
            <v:shape id="_x0000_s1205" type="#_x0000_t19" style="position:absolute;left:4359;top:8504;width:110;height:118;flip:y">
              <v:stroke endarrow="block"/>
            </v:shape>
            <w10:wrap type="none"/>
            <w10:anchorlock/>
          </v:group>
        </w:pict>
      </w:r>
      <w:r>
        <w:rPr>
          <w:sz w:val="28"/>
          <w:szCs w:val="28"/>
        </w:rPr>
      </w:r>
      <w:r>
        <w:rPr>
          <w:sz w:val="28"/>
          <w:szCs w:val="28"/>
        </w:rPr>
        <w:pict>
          <v:group id="_x0000_s1209" editas="canvas" style="width:187.05pt;height:186.95pt;mso-position-horizontal-relative:char;mso-position-vertical-relative:line" coordorigin="2680,5914" coordsize="2878,2876">
            <o:lock v:ext="edit" aspectratio="t"/>
            <v:shape id="_x0000_s1210" type="#_x0000_t75" style="position:absolute;left:2680;top:5914;width:2878;height:2876" o:preferrelative="f">
              <v:fill o:detectmouseclick="t"/>
              <v:path o:extrusionok="t" o:connecttype="none"/>
              <o:lock v:ext="edit" text="t"/>
            </v:shape>
            <v:shape id="_x0000_s1231" type="#_x0000_t32" style="position:absolute;left:3342;top:6731;width:434;height:1" o:connectortype="straight">
              <v:stroke startarrow="block"/>
            </v:shape>
            <v:shape id="_x0000_s1211" type="#_x0000_t32" style="position:absolute;left:2968;top:6058;width:0;height:2445" o:connectortype="straight" strokeweight="1.5pt"/>
            <v:shape id="_x0000_s1212" type="#_x0000_t32" style="position:absolute;left:2968;top:8503;width:2445;height:1" o:connectortype="straight" strokeweight="1.5pt"/>
            <v:shape id="_x0000_s1213" type="#_x0000_t202" style="position:absolute;left:5269;top:8503;width:289;height:287;v-text-anchor:middle" filled="f" stroked="f">
              <v:textbox style="mso-next-textbox:#_x0000_s1213" inset="0,0,0,0">
                <w:txbxContent>
                  <w:p w:rsidR="00AF4AE4" w:rsidRPr="00833B27" w:rsidRDefault="00AF4AE4" w:rsidP="00AF4AE4">
                    <w:pPr>
                      <w:jc w:val="center"/>
                      <w:rPr>
                        <w:sz w:val="28"/>
                        <w:szCs w:val="28"/>
                      </w:rPr>
                    </w:pPr>
                    <w:r>
                      <w:rPr>
                        <w:sz w:val="28"/>
                        <w:szCs w:val="28"/>
                      </w:rPr>
                      <w:t>Y</w:t>
                    </w:r>
                    <w:r>
                      <w:rPr>
                        <w:sz w:val="28"/>
                        <w:szCs w:val="28"/>
                        <w:vertAlign w:val="subscript"/>
                      </w:rPr>
                      <w:t>R</w:t>
                    </w:r>
                  </w:p>
                </w:txbxContent>
              </v:textbox>
            </v:shape>
            <v:shape id="_x0000_s1214" type="#_x0000_t32" style="position:absolute;left:4694;top:6202;width:2;height:2301;flip:y" o:connectortype="straight" strokeweight="1.5pt"/>
            <v:shape id="_x0000_s1215" type="#_x0000_t32" style="position:absolute;left:3058;top:6729;width:1780;height:1770" o:connectortype="straight" strokeweight="1.5pt"/>
            <v:shape id="_x0000_s1216" type="#_x0000_t202" style="position:absolute;left:4733;top:8215;width:536;height:284;v-text-anchor:middle" filled="f" stroked="f">
              <v:textbox style="mso-next-textbox:#_x0000_s1216" inset="0,0,0,0">
                <w:txbxContent>
                  <w:p w:rsidR="00AF4AE4" w:rsidRPr="00833B27" w:rsidRDefault="00AF4AE4" w:rsidP="00AF4AE4">
                    <w:pPr>
                      <w:jc w:val="center"/>
                      <w:rPr>
                        <w:sz w:val="28"/>
                        <w:szCs w:val="28"/>
                      </w:rPr>
                    </w:pPr>
                    <w:r>
                      <w:rPr>
                        <w:sz w:val="28"/>
                        <w:szCs w:val="28"/>
                      </w:rPr>
                      <w:t>AD’</w:t>
                    </w:r>
                  </w:p>
                </w:txbxContent>
              </v:textbox>
            </v:shape>
            <v:shape id="_x0000_s1217" type="#_x0000_t202" style="position:absolute;left:4258;top:5914;width:634;height:285;v-text-anchor:middle" filled="f" stroked="f">
              <v:textbox style="mso-next-textbox:#_x0000_s1217" inset="0,0,0,0">
                <w:txbxContent>
                  <w:p w:rsidR="00AF4AE4" w:rsidRPr="00833B27" w:rsidRDefault="00AF4AE4" w:rsidP="00AF4AE4">
                    <w:pPr>
                      <w:jc w:val="center"/>
                      <w:rPr>
                        <w:sz w:val="28"/>
                        <w:szCs w:val="28"/>
                      </w:rPr>
                    </w:pPr>
                    <w:r>
                      <w:rPr>
                        <w:sz w:val="28"/>
                        <w:szCs w:val="28"/>
                      </w:rPr>
                      <w:t>LRAS</w:t>
                    </w:r>
                  </w:p>
                </w:txbxContent>
              </v:textbox>
            </v:shape>
            <v:shape id="_x0000_s1218" type="#_x0000_t32" style="position:absolute;left:2964;top:7925;width:1294;height:1;flip:x" o:connectortype="straight">
              <v:stroke dashstyle="longDash"/>
            </v:shape>
            <v:shape id="_x0000_s1219" type="#_x0000_t32" style="position:absolute;left:2968;top:7496;width:1725;height:2;flip:x" o:connectortype="straight">
              <v:stroke dashstyle="longDash"/>
            </v:shape>
            <v:shape id="_x0000_s1220" type="#_x0000_t32" style="position:absolute;left:3451;top:6855;width:432;height:1" o:connectortype="straight">
              <v:stroke endarrow="block"/>
            </v:shape>
            <v:shape id="_x0000_s1221" type="#_x0000_t32" style="position:absolute;left:3025;top:7496;width:1;height:429;flip:x y" o:connectortype="straight">
              <v:stroke endarrow="block"/>
            </v:shape>
            <v:shape id="_x0000_s1222" type="#_x0000_t32" style="position:absolute;left:3255;top:6058;width:2014;height:2014" o:connectortype="straight" strokeweight="1.5pt"/>
            <v:shape id="_x0000_s1223" type="#_x0000_t202" style="position:absolute;left:2726;top:6519;width:186;height:1281;v-text-anchor:middle" filled="f" stroked="f">
              <v:textbox style="layout-flow:vertical;mso-layout-flow-alt:bottom-to-top;mso-next-textbox:#_x0000_s1223" inset="0,0,0,0">
                <w:txbxContent>
                  <w:p w:rsidR="00AF4AE4" w:rsidRPr="00833B27" w:rsidRDefault="00AF4AE4" w:rsidP="00AF4AE4">
                    <w:pPr>
                      <w:jc w:val="center"/>
                      <w:rPr>
                        <w:sz w:val="28"/>
                        <w:szCs w:val="28"/>
                      </w:rPr>
                    </w:pPr>
                    <w:r>
                      <w:rPr>
                        <w:sz w:val="28"/>
                        <w:szCs w:val="28"/>
                      </w:rPr>
                      <w:t>Price level</w:t>
                    </w:r>
                  </w:p>
                </w:txbxContent>
              </v:textbox>
            </v:shape>
            <v:shape id="_x0000_s1224" type="#_x0000_t19" style="position:absolute;left:3320;top:6555;width:1683;height:1639;rotation:90" strokeweight="1.5pt"/>
            <v:shape id="_x0000_s1225" type="#_x0000_t202" style="position:absolute;left:4694;top:6202;width:626;height:284;v-text-anchor:middle" filled="f" stroked="f">
              <v:textbox style="mso-next-textbox:#_x0000_s1225" inset="0,0,0,0">
                <w:txbxContent>
                  <w:p w:rsidR="00AF4AE4" w:rsidRPr="00833B27" w:rsidRDefault="00AF4AE4" w:rsidP="00AF4AE4">
                    <w:pPr>
                      <w:jc w:val="center"/>
                      <w:rPr>
                        <w:sz w:val="28"/>
                        <w:szCs w:val="28"/>
                      </w:rPr>
                    </w:pPr>
                    <w:r>
                      <w:rPr>
                        <w:sz w:val="28"/>
                        <w:szCs w:val="28"/>
                      </w:rPr>
                      <w:t>SRAS</w:t>
                    </w:r>
                  </w:p>
                </w:txbxContent>
              </v:textbox>
            </v:shape>
            <v:shape id="_x0000_s1226" type="#_x0000_t202" style="position:absolute;left:4981;top:8032;width:535;height:283;v-text-anchor:middle" filled="f" stroked="f">
              <v:textbox style="mso-next-textbox:#_x0000_s1226" inset="0,0,0,0">
                <w:txbxContent>
                  <w:p w:rsidR="00AF4AE4" w:rsidRPr="00833B27" w:rsidRDefault="00AF4AE4" w:rsidP="00AF4AE4">
                    <w:pPr>
                      <w:jc w:val="center"/>
                      <w:rPr>
                        <w:sz w:val="28"/>
                        <w:szCs w:val="28"/>
                      </w:rPr>
                    </w:pPr>
                    <w:r>
                      <w:rPr>
                        <w:sz w:val="28"/>
                        <w:szCs w:val="28"/>
                      </w:rPr>
                      <w:t>AD</w:t>
                    </w:r>
                    <w:r w:rsidR="009A5E52">
                      <w:rPr>
                        <w:sz w:val="28"/>
                        <w:szCs w:val="28"/>
                      </w:rPr>
                      <w:t>’’</w:t>
                    </w:r>
                  </w:p>
                </w:txbxContent>
              </v:textbox>
            </v:shape>
            <v:shape id="_x0000_s1227" type="#_x0000_t32" style="position:absolute;left:4258;top:7929;width:1;height:575" o:connectortype="straight">
              <v:stroke dashstyle="longDash"/>
            </v:shape>
            <v:shape id="_x0000_s1228" type="#_x0000_t32" style="position:absolute;left:4273;top:8443;width:423;height:1" o:connectortype="straight">
              <v:stroke endarrow="block"/>
            </v:shape>
            <v:shape id="_x0000_s1229" type="#_x0000_t202" style="position:absolute;left:3342;top:8504;width:1064;height:251;v-text-anchor:middle" filled="f" stroked="f">
              <v:textbox style="mso-next-textbox:#_x0000_s1229" inset="0,0,0,0">
                <w:txbxContent>
                  <w:p w:rsidR="00AF4AE4" w:rsidRPr="00833B27" w:rsidRDefault="00AF4AE4" w:rsidP="00AF4AE4">
                    <w:pPr>
                      <w:jc w:val="center"/>
                      <w:rPr>
                        <w:sz w:val="28"/>
                        <w:szCs w:val="28"/>
                      </w:rPr>
                    </w:pPr>
                    <w:r>
                      <w:rPr>
                        <w:sz w:val="28"/>
                        <w:szCs w:val="28"/>
                      </w:rPr>
                      <w:t>Gap Closed</w:t>
                    </w:r>
                  </w:p>
                </w:txbxContent>
              </v:textbox>
            </v:shape>
            <v:shape id="_x0000_s1230" type="#_x0000_t19" style="position:absolute;left:4359;top:8504;width:110;height:118;flip:y">
              <v:stroke endarrow="block"/>
            </v:shape>
            <w10:wrap type="none"/>
            <w10:anchorlock/>
          </v:group>
        </w:pict>
      </w:r>
    </w:p>
    <w:p w:rsidR="007541A4" w:rsidRDefault="009A5E52" w:rsidP="009A5E52">
      <w:pPr>
        <w:numPr>
          <w:ilvl w:val="2"/>
          <w:numId w:val="4"/>
        </w:numPr>
        <w:jc w:val="both"/>
        <w:rPr>
          <w:sz w:val="28"/>
          <w:szCs w:val="28"/>
        </w:rPr>
      </w:pPr>
      <w:r>
        <w:rPr>
          <w:sz w:val="28"/>
          <w:szCs w:val="28"/>
        </w:rPr>
        <w:t>The government responds to a leftward shift in AD by shifting AD back to the right.</w:t>
      </w:r>
    </w:p>
    <w:p w:rsidR="009A5E52" w:rsidRDefault="009A5E52" w:rsidP="009A5E52">
      <w:pPr>
        <w:numPr>
          <w:ilvl w:val="2"/>
          <w:numId w:val="4"/>
        </w:numPr>
        <w:jc w:val="both"/>
        <w:rPr>
          <w:sz w:val="28"/>
          <w:szCs w:val="28"/>
        </w:rPr>
      </w:pPr>
      <w:r>
        <w:rPr>
          <w:sz w:val="28"/>
          <w:szCs w:val="28"/>
        </w:rPr>
        <w:t xml:space="preserve">Because the adjustment is made via government spending, it is called </w:t>
      </w:r>
      <w:r>
        <w:rPr>
          <w:i/>
          <w:sz w:val="28"/>
          <w:szCs w:val="28"/>
        </w:rPr>
        <w:t>fiscal policy</w:t>
      </w:r>
      <w:r>
        <w:rPr>
          <w:sz w:val="28"/>
          <w:szCs w:val="28"/>
        </w:rPr>
        <w:t>.</w:t>
      </w:r>
    </w:p>
    <w:p w:rsidR="009A5E52" w:rsidRDefault="009A5E52" w:rsidP="009A5E52">
      <w:pPr>
        <w:numPr>
          <w:ilvl w:val="2"/>
          <w:numId w:val="4"/>
        </w:numPr>
        <w:jc w:val="both"/>
        <w:rPr>
          <w:sz w:val="28"/>
          <w:szCs w:val="28"/>
        </w:rPr>
      </w:pPr>
      <w:r>
        <w:rPr>
          <w:sz w:val="28"/>
          <w:szCs w:val="28"/>
        </w:rPr>
        <w:t xml:space="preserve">The nice thing about this strategy is the Keynesian, or fiscal, multiplier. The government doesn’t have to spend X, where X is the different between the desired GDP and the actual GDP. They have to just spend the much smaller </w:t>
      </w:r>
      <w:r w:rsidR="00B230E3">
        <w:rPr>
          <w:sz w:val="28"/>
          <w:szCs w:val="28"/>
        </w:rPr>
        <w:t>Z, where Z equals X divided by the</w:t>
      </w:r>
      <w:r>
        <w:rPr>
          <w:sz w:val="28"/>
          <w:szCs w:val="28"/>
        </w:rPr>
        <w:t xml:space="preserve"> </w:t>
      </w:r>
      <w:r w:rsidR="00B230E3">
        <w:rPr>
          <w:sz w:val="28"/>
          <w:szCs w:val="28"/>
        </w:rPr>
        <w:t>m</w:t>
      </w:r>
      <w:r>
        <w:rPr>
          <w:sz w:val="28"/>
          <w:szCs w:val="28"/>
        </w:rPr>
        <w:t>ultiplier. The bigger the multiplier, the more effective fiscal policy.</w:t>
      </w:r>
      <w:r w:rsidR="00B230E3">
        <w:rPr>
          <w:sz w:val="28"/>
          <w:szCs w:val="28"/>
        </w:rPr>
        <w:t xml:space="preserve"> </w:t>
      </w:r>
      <w:r w:rsidR="00271092">
        <w:rPr>
          <w:b/>
          <w:sz w:val="28"/>
          <w:szCs w:val="28"/>
        </w:rPr>
        <w:t>The fiscal multiplier determines how far AD shifts; a larger multiplier means a larger shift.</w:t>
      </w:r>
      <w:r w:rsidR="00271092">
        <w:rPr>
          <w:sz w:val="28"/>
          <w:szCs w:val="28"/>
        </w:rPr>
        <w:t xml:space="preserve"> </w:t>
      </w:r>
      <w:r w:rsidR="00B230E3">
        <w:rPr>
          <w:sz w:val="28"/>
          <w:szCs w:val="28"/>
        </w:rPr>
        <w:t>There’s a lot of debate concerning how big the multiplier is.</w:t>
      </w:r>
    </w:p>
    <w:p w:rsidR="00515906" w:rsidRDefault="00515906" w:rsidP="00515906">
      <w:pPr>
        <w:numPr>
          <w:ilvl w:val="2"/>
          <w:numId w:val="4"/>
        </w:numPr>
        <w:jc w:val="both"/>
        <w:rPr>
          <w:sz w:val="28"/>
          <w:szCs w:val="28"/>
        </w:rPr>
      </w:pPr>
      <w:r>
        <w:rPr>
          <w:sz w:val="28"/>
          <w:szCs w:val="28"/>
        </w:rPr>
        <w:lastRenderedPageBreak/>
        <w:t xml:space="preserve">Any spending the government does would be paid for later, when there’s a recovery. Indeed, you’ll need </w:t>
      </w:r>
      <w:r>
        <w:rPr>
          <w:i/>
          <w:sz w:val="28"/>
          <w:szCs w:val="28"/>
        </w:rPr>
        <w:t>surpluses</w:t>
      </w:r>
      <w:r>
        <w:rPr>
          <w:sz w:val="28"/>
          <w:szCs w:val="28"/>
        </w:rPr>
        <w:t xml:space="preserve"> to combat any inflationary gaps.</w:t>
      </w:r>
    </w:p>
    <w:p w:rsidR="00B230E3" w:rsidRDefault="00B230E3" w:rsidP="00B230E3">
      <w:pPr>
        <w:numPr>
          <w:ilvl w:val="1"/>
          <w:numId w:val="4"/>
        </w:numPr>
        <w:jc w:val="both"/>
        <w:rPr>
          <w:sz w:val="28"/>
          <w:szCs w:val="28"/>
        </w:rPr>
      </w:pPr>
      <w:r>
        <w:rPr>
          <w:sz w:val="28"/>
          <w:szCs w:val="28"/>
        </w:rPr>
        <w:t xml:space="preserve">It’s impossible to tell </w:t>
      </w:r>
      <w:r w:rsidR="00CF2EC5">
        <w:rPr>
          <w:sz w:val="28"/>
          <w:szCs w:val="28"/>
        </w:rPr>
        <w:t xml:space="preserve">exactly </w:t>
      </w:r>
      <w:r>
        <w:rPr>
          <w:sz w:val="28"/>
          <w:szCs w:val="28"/>
        </w:rPr>
        <w:t>how effective the New Deal was and this leads us to the big issue in economics, especially macroeconomics, especially major events in macroeconomics.</w:t>
      </w:r>
    </w:p>
    <w:p w:rsidR="00B230E3" w:rsidRPr="004D23CA" w:rsidRDefault="00B230E3" w:rsidP="00B230E3">
      <w:pPr>
        <w:numPr>
          <w:ilvl w:val="2"/>
          <w:numId w:val="4"/>
        </w:numPr>
        <w:jc w:val="both"/>
        <w:rPr>
          <w:sz w:val="28"/>
          <w:szCs w:val="28"/>
        </w:rPr>
      </w:pPr>
      <w:r w:rsidRPr="004D23CA">
        <w:rPr>
          <w:sz w:val="28"/>
          <w:szCs w:val="28"/>
        </w:rPr>
        <w:t>We can’t run controlled experiments.</w:t>
      </w:r>
      <w:r w:rsidR="004D23CA">
        <w:rPr>
          <w:sz w:val="28"/>
          <w:szCs w:val="28"/>
        </w:rPr>
        <w:t xml:space="preserve"> </w:t>
      </w:r>
      <w:r w:rsidRPr="004D23CA">
        <w:rPr>
          <w:sz w:val="28"/>
          <w:szCs w:val="28"/>
        </w:rPr>
        <w:t xml:space="preserve">Therefore it’s really, really, really hard to use evidence to support a theory. </w:t>
      </w:r>
    </w:p>
    <w:p w:rsidR="00B230E3" w:rsidRDefault="00B230E3" w:rsidP="00B230E3">
      <w:pPr>
        <w:numPr>
          <w:ilvl w:val="2"/>
          <w:numId w:val="4"/>
        </w:numPr>
        <w:jc w:val="both"/>
        <w:rPr>
          <w:sz w:val="28"/>
          <w:szCs w:val="28"/>
        </w:rPr>
      </w:pPr>
      <w:r>
        <w:rPr>
          <w:sz w:val="28"/>
          <w:szCs w:val="28"/>
        </w:rPr>
        <w:t xml:space="preserve">There are so many other things going on, it’s impossible to tell if the economic recovery after the Great Depression was </w:t>
      </w:r>
      <w:r>
        <w:rPr>
          <w:b/>
          <w:sz w:val="28"/>
          <w:szCs w:val="28"/>
        </w:rPr>
        <w:t>because of</w:t>
      </w:r>
      <w:r>
        <w:rPr>
          <w:sz w:val="28"/>
          <w:szCs w:val="28"/>
        </w:rPr>
        <w:t xml:space="preserve"> or </w:t>
      </w:r>
      <w:r>
        <w:rPr>
          <w:b/>
          <w:sz w:val="28"/>
          <w:szCs w:val="28"/>
        </w:rPr>
        <w:t>in spite of</w:t>
      </w:r>
      <w:r>
        <w:rPr>
          <w:sz w:val="28"/>
          <w:szCs w:val="28"/>
        </w:rPr>
        <w:t xml:space="preserve"> the New Deal.</w:t>
      </w:r>
    </w:p>
    <w:p w:rsidR="00B230E3" w:rsidRDefault="00515906" w:rsidP="00B230E3">
      <w:pPr>
        <w:numPr>
          <w:ilvl w:val="0"/>
          <w:numId w:val="4"/>
        </w:numPr>
        <w:jc w:val="both"/>
        <w:rPr>
          <w:sz w:val="28"/>
          <w:szCs w:val="28"/>
        </w:rPr>
      </w:pPr>
      <w:r>
        <w:rPr>
          <w:sz w:val="28"/>
          <w:szCs w:val="28"/>
        </w:rPr>
        <w:t>Automatic/Built-In Stabilizers</w:t>
      </w:r>
    </w:p>
    <w:p w:rsidR="00B230E3" w:rsidRDefault="00515906" w:rsidP="00B230E3">
      <w:pPr>
        <w:numPr>
          <w:ilvl w:val="1"/>
          <w:numId w:val="4"/>
        </w:numPr>
        <w:jc w:val="both"/>
        <w:rPr>
          <w:sz w:val="28"/>
          <w:szCs w:val="28"/>
        </w:rPr>
      </w:pPr>
      <w:r>
        <w:rPr>
          <w:sz w:val="28"/>
          <w:szCs w:val="28"/>
        </w:rPr>
        <w:t xml:space="preserve">A </w:t>
      </w:r>
      <w:r>
        <w:rPr>
          <w:i/>
          <w:sz w:val="28"/>
          <w:szCs w:val="28"/>
        </w:rPr>
        <w:t>built-in</w:t>
      </w:r>
      <w:r>
        <w:rPr>
          <w:sz w:val="28"/>
          <w:szCs w:val="28"/>
        </w:rPr>
        <w:t xml:space="preserve"> </w:t>
      </w:r>
      <w:r>
        <w:rPr>
          <w:i/>
          <w:sz w:val="28"/>
          <w:szCs w:val="28"/>
        </w:rPr>
        <w:t>stabilizer</w:t>
      </w:r>
      <w:r>
        <w:rPr>
          <w:sz w:val="28"/>
          <w:szCs w:val="28"/>
        </w:rPr>
        <w:t xml:space="preserve"> is anything which increases deficit spending (either by cutting taxes or increasing spending) anytime when there’s a recession and decreases the deficit when there’s an expansion.</w:t>
      </w:r>
      <w:r w:rsidR="00CF2EC5">
        <w:rPr>
          <w:sz w:val="28"/>
          <w:szCs w:val="28"/>
        </w:rPr>
        <w:t xml:space="preserve"> It requires no explicit action from policy makers.</w:t>
      </w:r>
    </w:p>
    <w:p w:rsidR="00515906" w:rsidRDefault="00515906" w:rsidP="00515906">
      <w:pPr>
        <w:numPr>
          <w:ilvl w:val="1"/>
          <w:numId w:val="4"/>
        </w:numPr>
        <w:jc w:val="both"/>
        <w:rPr>
          <w:sz w:val="28"/>
          <w:szCs w:val="28"/>
        </w:rPr>
      </w:pPr>
      <w:r>
        <w:rPr>
          <w:i/>
          <w:sz w:val="28"/>
          <w:szCs w:val="28"/>
        </w:rPr>
        <w:t>Progressive Taxes</w:t>
      </w:r>
      <w:r>
        <w:rPr>
          <w:sz w:val="28"/>
          <w:szCs w:val="28"/>
        </w:rPr>
        <w:t xml:space="preserve">. A progressive tax means the higher your income, the larger percent of taxes you pay. </w:t>
      </w:r>
      <w:r w:rsidR="00AD30ED">
        <w:rPr>
          <w:sz w:val="28"/>
          <w:szCs w:val="28"/>
        </w:rPr>
        <w:t>When a recession hits, people’s income falls and thus they pay a smaller percent in taxes. Here’s the marginal tax rate for taxable income in the United States (2013)</w:t>
      </w:r>
      <w:r w:rsidR="00AD30ED">
        <w:rPr>
          <w:rStyle w:val="FootnoteReference"/>
          <w:sz w:val="28"/>
          <w:szCs w:val="28"/>
        </w:rPr>
        <w:footnoteReference w:id="1"/>
      </w:r>
      <w:r>
        <w:rPr>
          <w:sz w:val="28"/>
          <w:szCs w:val="28"/>
        </w:rPr>
        <w:t>:</w:t>
      </w:r>
    </w:p>
    <w:p w:rsidR="00515906" w:rsidRDefault="003C6564" w:rsidP="00515906">
      <w:pPr>
        <w:numPr>
          <w:ilvl w:val="2"/>
          <w:numId w:val="4"/>
        </w:numPr>
        <w:jc w:val="both"/>
        <w:rPr>
          <w:sz w:val="28"/>
          <w:szCs w:val="28"/>
        </w:rPr>
      </w:pPr>
      <w:r>
        <w:rPr>
          <w:noProof/>
          <w:sz w:val="28"/>
          <w:szCs w:val="28"/>
        </w:rPr>
        <w:pict>
          <v:group id="_x0000_s1234" editas="canvas" style="position:absolute;left:0;text-align:left;margin-left:299.2pt;margin-top:2.05pt;width:158.95pt;height:110.05pt;z-index:251658240" coordorigin="1843,6324" coordsize="2444,1693">
            <o:lock v:ext="edit" aspectratio="t"/>
            <v:shape id="_x0000_s1235" type="#_x0000_t75" style="position:absolute;left:1843;top:6324;width:2444;height:1693" o:preferrelative="f">
              <v:fill o:detectmouseclick="t"/>
              <v:path o:extrusionok="t" o:connecttype="none"/>
              <o:lock v:ext="edit" text="t"/>
            </v:shape>
            <v:rect id="_x0000_s1236" style="position:absolute;left:2707;top:6518;width:431;height:1294"/>
            <v:shape id="_x0000_s1237" type="#_x0000_t202" style="position:absolute;left:3281;top:6518;width:718;height:288;v-text-anchor:middle" filled="f" stroked="f">
              <v:textbox inset="0,,0">
                <w:txbxContent>
                  <w:p w:rsidR="00AD30ED" w:rsidRPr="00AD30ED" w:rsidRDefault="001856CF" w:rsidP="001856CF">
                    <w:pPr>
                      <w:rPr>
                        <w:b/>
                      </w:rPr>
                    </w:pPr>
                    <w:r>
                      <w:rPr>
                        <w:b/>
                      </w:rPr>
                      <w:t>$17,850</w:t>
                    </w: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238" type="#_x0000_t88" style="position:absolute;left:3137;top:6518;width:144;height:288"/>
            <v:shape id="_x0000_s1239" type="#_x0000_t88" style="position:absolute;left:3137;top:6806;width:144;height:719"/>
            <v:shape id="_x0000_s1240" type="#_x0000_t202" style="position:absolute;left:1880;top:6990;width:720;height:290;v-text-anchor:middle" filled="f" stroked="f">
              <v:textbox inset="0,,0">
                <w:txbxContent>
                  <w:p w:rsidR="001856CF" w:rsidRPr="00AD30ED" w:rsidRDefault="001856CF" w:rsidP="001856CF">
                    <w:pPr>
                      <w:rPr>
                        <w:b/>
                      </w:rPr>
                    </w:pPr>
                    <w:r>
                      <w:rPr>
                        <w:b/>
                      </w:rPr>
                      <w:t>$90,000</w:t>
                    </w:r>
                  </w:p>
                </w:txbxContent>
              </v:textbox>
            </v:shape>
            <v:shape id="_x0000_s1241" type="#_x0000_t88" style="position:absolute;left:2522;top:6518;width:184;height:1294;flip:x"/>
            <v:shape id="_x0000_s1242" type="#_x0000_t202" style="position:absolute;left:2706;top:6518;width:432;height:288;v-text-anchor:middle" filled="f" stroked="f">
              <v:textbox inset="0,,0">
                <w:txbxContent>
                  <w:p w:rsidR="001856CF" w:rsidRPr="00AD30ED" w:rsidRDefault="001856CF" w:rsidP="001856CF">
                    <w:pPr>
                      <w:jc w:val="center"/>
                      <w:rPr>
                        <w:b/>
                      </w:rPr>
                    </w:pPr>
                    <w:r>
                      <w:rPr>
                        <w:b/>
                      </w:rPr>
                      <w:t>10%</w:t>
                    </w:r>
                  </w:p>
                </w:txbxContent>
              </v:textbox>
            </v:shape>
            <v:shape id="_x0000_s1243" type="#_x0000_t32" style="position:absolute;left:2707;top:6806;width:431;height:1;flip:x" o:connectortype="straight"/>
            <v:shape id="_x0000_s1244" type="#_x0000_t32" style="position:absolute;left:2706;top:7525;width:431;height:1;flip:x" o:connectortype="straight"/>
            <v:shape id="_x0000_s1245" type="#_x0000_t202" style="position:absolute;left:2706;top:6991;width:431;height:289;v-text-anchor:middle" filled="f" stroked="f">
              <v:textbox inset="0,,0">
                <w:txbxContent>
                  <w:p w:rsidR="001856CF" w:rsidRPr="00AD30ED" w:rsidRDefault="001856CF" w:rsidP="001856CF">
                    <w:pPr>
                      <w:jc w:val="center"/>
                      <w:rPr>
                        <w:b/>
                      </w:rPr>
                    </w:pPr>
                    <w:r>
                      <w:rPr>
                        <w:b/>
                      </w:rPr>
                      <w:t>15%</w:t>
                    </w:r>
                  </w:p>
                </w:txbxContent>
              </v:textbox>
            </v:shape>
            <v:shape id="_x0000_s1246" type="#_x0000_t202" style="position:absolute;left:2706;top:7526;width:429;height:290;v-text-anchor:middle" filled="f" stroked="f">
              <v:textbox inset="0,,0">
                <w:txbxContent>
                  <w:p w:rsidR="001856CF" w:rsidRPr="00AD30ED" w:rsidRDefault="001856CF" w:rsidP="001856CF">
                    <w:pPr>
                      <w:jc w:val="center"/>
                      <w:rPr>
                        <w:b/>
                      </w:rPr>
                    </w:pPr>
                    <w:r>
                      <w:rPr>
                        <w:b/>
                      </w:rPr>
                      <w:t>25%</w:t>
                    </w:r>
                  </w:p>
                </w:txbxContent>
              </v:textbox>
            </v:shape>
            <v:shape id="_x0000_s1247" type="#_x0000_t202" style="position:absolute;left:3281;top:6991;width:718;height:289;v-text-anchor:middle" filled="f" stroked="f">
              <v:textbox inset="0,,0">
                <w:txbxContent>
                  <w:p w:rsidR="001856CF" w:rsidRPr="00AD30ED" w:rsidRDefault="001856CF" w:rsidP="001856CF">
                    <w:pPr>
                      <w:rPr>
                        <w:b/>
                      </w:rPr>
                    </w:pPr>
                    <w:r>
                      <w:rPr>
                        <w:b/>
                      </w:rPr>
                      <w:t>$54,650</w:t>
                    </w:r>
                  </w:p>
                </w:txbxContent>
              </v:textbox>
            </v:shape>
            <v:shape id="_x0000_s1248" type="#_x0000_t88" style="position:absolute;left:3137;top:7522;width:144;height:290"/>
            <v:shape id="_x0000_s1249" type="#_x0000_t202" style="position:absolute;left:3281;top:7522;width:718;height:290;v-text-anchor:middle" filled="f" stroked="f">
              <v:textbox inset="0,,0">
                <w:txbxContent>
                  <w:p w:rsidR="001856CF" w:rsidRPr="00AD30ED" w:rsidRDefault="001856CF" w:rsidP="001856CF">
                    <w:pPr>
                      <w:rPr>
                        <w:b/>
                      </w:rPr>
                    </w:pPr>
                    <w:r>
                      <w:rPr>
                        <w:b/>
                      </w:rPr>
                      <w:t>$17,500</w:t>
                    </w:r>
                  </w:p>
                </w:txbxContent>
              </v:textbox>
            </v:shape>
            <w10:wrap type="square"/>
          </v:group>
        </w:pict>
      </w:r>
      <w:r w:rsidR="00AD30ED">
        <w:rPr>
          <w:sz w:val="28"/>
          <w:szCs w:val="28"/>
        </w:rPr>
        <w:t>$0 to $17,850</w:t>
      </w:r>
      <w:r w:rsidR="00AD30ED">
        <w:rPr>
          <w:sz w:val="28"/>
          <w:szCs w:val="28"/>
        </w:rPr>
        <w:tab/>
      </w:r>
      <w:r w:rsidR="00AD30ED">
        <w:rPr>
          <w:sz w:val="28"/>
          <w:szCs w:val="28"/>
        </w:rPr>
        <w:tab/>
        <w:t>10%</w:t>
      </w:r>
    </w:p>
    <w:p w:rsidR="00AD30ED" w:rsidRDefault="00AD30ED" w:rsidP="00515906">
      <w:pPr>
        <w:numPr>
          <w:ilvl w:val="2"/>
          <w:numId w:val="4"/>
        </w:numPr>
        <w:jc w:val="both"/>
        <w:rPr>
          <w:sz w:val="28"/>
          <w:szCs w:val="28"/>
        </w:rPr>
      </w:pPr>
      <w:r>
        <w:rPr>
          <w:sz w:val="28"/>
          <w:szCs w:val="28"/>
        </w:rPr>
        <w:t>$17,851 to $72,500</w:t>
      </w:r>
      <w:r>
        <w:rPr>
          <w:sz w:val="28"/>
          <w:szCs w:val="28"/>
        </w:rPr>
        <w:tab/>
        <w:t>15%</w:t>
      </w:r>
    </w:p>
    <w:p w:rsidR="00AD30ED" w:rsidRDefault="00AD30ED" w:rsidP="00515906">
      <w:pPr>
        <w:numPr>
          <w:ilvl w:val="2"/>
          <w:numId w:val="4"/>
        </w:numPr>
        <w:jc w:val="both"/>
        <w:rPr>
          <w:sz w:val="28"/>
          <w:szCs w:val="28"/>
        </w:rPr>
      </w:pPr>
      <w:r>
        <w:rPr>
          <w:sz w:val="28"/>
          <w:szCs w:val="28"/>
        </w:rPr>
        <w:t>$72,501 to $146,400</w:t>
      </w:r>
      <w:r>
        <w:rPr>
          <w:sz w:val="28"/>
          <w:szCs w:val="28"/>
        </w:rPr>
        <w:tab/>
        <w:t>25%</w:t>
      </w:r>
    </w:p>
    <w:p w:rsidR="00AD30ED" w:rsidRDefault="00AD30ED" w:rsidP="00515906">
      <w:pPr>
        <w:numPr>
          <w:ilvl w:val="2"/>
          <w:numId w:val="4"/>
        </w:numPr>
        <w:jc w:val="both"/>
        <w:rPr>
          <w:sz w:val="28"/>
          <w:szCs w:val="28"/>
        </w:rPr>
      </w:pPr>
      <w:r>
        <w:rPr>
          <w:sz w:val="28"/>
          <w:szCs w:val="28"/>
        </w:rPr>
        <w:t>$146,401 to $223,050</w:t>
      </w:r>
      <w:r>
        <w:rPr>
          <w:sz w:val="28"/>
          <w:szCs w:val="28"/>
        </w:rPr>
        <w:tab/>
        <w:t>28%</w:t>
      </w:r>
    </w:p>
    <w:p w:rsidR="00AD30ED" w:rsidRDefault="00AD30ED" w:rsidP="00515906">
      <w:pPr>
        <w:numPr>
          <w:ilvl w:val="2"/>
          <w:numId w:val="4"/>
        </w:numPr>
        <w:jc w:val="both"/>
        <w:rPr>
          <w:sz w:val="28"/>
          <w:szCs w:val="28"/>
        </w:rPr>
      </w:pPr>
      <w:r>
        <w:rPr>
          <w:sz w:val="28"/>
          <w:szCs w:val="28"/>
        </w:rPr>
        <w:t>$223,051 to $398,350</w:t>
      </w:r>
      <w:r>
        <w:rPr>
          <w:sz w:val="28"/>
          <w:szCs w:val="28"/>
        </w:rPr>
        <w:tab/>
        <w:t>33%</w:t>
      </w:r>
    </w:p>
    <w:p w:rsidR="00AD30ED" w:rsidRDefault="00AD30ED" w:rsidP="00515906">
      <w:pPr>
        <w:numPr>
          <w:ilvl w:val="2"/>
          <w:numId w:val="4"/>
        </w:numPr>
        <w:jc w:val="both"/>
        <w:rPr>
          <w:sz w:val="28"/>
          <w:szCs w:val="28"/>
        </w:rPr>
      </w:pPr>
      <w:r>
        <w:rPr>
          <w:sz w:val="28"/>
          <w:szCs w:val="28"/>
        </w:rPr>
        <w:t>$398,351 to $450,000</w:t>
      </w:r>
      <w:r>
        <w:rPr>
          <w:sz w:val="28"/>
          <w:szCs w:val="28"/>
        </w:rPr>
        <w:tab/>
        <w:t>35%</w:t>
      </w:r>
    </w:p>
    <w:p w:rsidR="00AD30ED" w:rsidRPr="00515906" w:rsidRDefault="00AD30ED" w:rsidP="00515906">
      <w:pPr>
        <w:numPr>
          <w:ilvl w:val="2"/>
          <w:numId w:val="4"/>
        </w:numPr>
        <w:jc w:val="both"/>
        <w:rPr>
          <w:sz w:val="28"/>
          <w:szCs w:val="28"/>
        </w:rPr>
      </w:pPr>
      <w:r>
        <w:rPr>
          <w:sz w:val="28"/>
          <w:szCs w:val="28"/>
        </w:rPr>
        <w:t>Over $450,000</w:t>
      </w:r>
      <w:r>
        <w:rPr>
          <w:sz w:val="28"/>
          <w:szCs w:val="28"/>
        </w:rPr>
        <w:tab/>
      </w:r>
      <w:r>
        <w:rPr>
          <w:sz w:val="28"/>
          <w:szCs w:val="28"/>
        </w:rPr>
        <w:tab/>
        <w:t>39.6%</w:t>
      </w:r>
    </w:p>
    <w:p w:rsidR="00515906" w:rsidRDefault="00AD30ED" w:rsidP="00515906">
      <w:pPr>
        <w:ind w:left="1440"/>
        <w:jc w:val="both"/>
        <w:rPr>
          <w:sz w:val="28"/>
          <w:szCs w:val="28"/>
        </w:rPr>
      </w:pPr>
      <w:r>
        <w:rPr>
          <w:sz w:val="28"/>
          <w:szCs w:val="28"/>
        </w:rPr>
        <w:t>These marginal tax rates are for the portion of your income in that range. If you make $</w:t>
      </w:r>
      <w:r w:rsidR="001856CF">
        <w:rPr>
          <w:sz w:val="28"/>
          <w:szCs w:val="28"/>
        </w:rPr>
        <w:t>90</w:t>
      </w:r>
      <w:r>
        <w:rPr>
          <w:sz w:val="28"/>
          <w:szCs w:val="28"/>
        </w:rPr>
        <w:t xml:space="preserve">,000 in taxable income, $17,850 will be taxed at 10% ($1,785); </w:t>
      </w:r>
      <w:r w:rsidR="001856CF">
        <w:rPr>
          <w:sz w:val="28"/>
          <w:szCs w:val="28"/>
        </w:rPr>
        <w:t>$54,650 ($72,500 – $17,850) will be taxed at 15% ($8,197.50); and the remaining $17,500 will be taxed at 25% ($4,375) for a total of $14,357.50.</w:t>
      </w:r>
    </w:p>
    <w:p w:rsidR="001B24F5" w:rsidRDefault="00CF2EC5" w:rsidP="007616C1">
      <w:pPr>
        <w:numPr>
          <w:ilvl w:val="1"/>
          <w:numId w:val="4"/>
        </w:numPr>
        <w:jc w:val="both"/>
        <w:rPr>
          <w:sz w:val="28"/>
          <w:szCs w:val="28"/>
        </w:rPr>
      </w:pPr>
      <w:r>
        <w:rPr>
          <w:i/>
          <w:sz w:val="28"/>
          <w:szCs w:val="28"/>
        </w:rPr>
        <w:t>Certain Entitlements</w:t>
      </w:r>
      <w:r>
        <w:rPr>
          <w:sz w:val="28"/>
          <w:szCs w:val="28"/>
        </w:rPr>
        <w:t>. Some entitlements—or a government benefit with guaranteed access—kick in more often when a recession hits. For example, welfare, food stamps, and unemployment insurance payouts skyrocket during recessions. Since these payments have a large MPC, many economists favor them since the resulting shift in AD would be quite large.</w:t>
      </w:r>
    </w:p>
    <w:p w:rsidR="005640CC" w:rsidRDefault="005640CC" w:rsidP="005640CC">
      <w:pPr>
        <w:numPr>
          <w:ilvl w:val="0"/>
          <w:numId w:val="4"/>
        </w:numPr>
        <w:jc w:val="both"/>
        <w:rPr>
          <w:sz w:val="28"/>
          <w:szCs w:val="28"/>
        </w:rPr>
      </w:pPr>
      <w:r>
        <w:rPr>
          <w:sz w:val="28"/>
          <w:szCs w:val="28"/>
        </w:rPr>
        <w:lastRenderedPageBreak/>
        <w:t>Fiscal Policy and Real Shocks</w:t>
      </w:r>
    </w:p>
    <w:p w:rsidR="005640CC" w:rsidRDefault="005640CC" w:rsidP="005640CC">
      <w:pPr>
        <w:numPr>
          <w:ilvl w:val="1"/>
          <w:numId w:val="4"/>
        </w:numPr>
        <w:jc w:val="both"/>
        <w:rPr>
          <w:sz w:val="28"/>
          <w:szCs w:val="28"/>
        </w:rPr>
      </w:pPr>
      <w:r>
        <w:rPr>
          <w:sz w:val="28"/>
          <w:szCs w:val="28"/>
        </w:rPr>
        <w:t>Shifts in LRAS (real shocks) typically cause SRAS to shift with it.</w:t>
      </w:r>
    </w:p>
    <w:p w:rsidR="005640CC" w:rsidRDefault="005640CC" w:rsidP="005640CC">
      <w:pPr>
        <w:numPr>
          <w:ilvl w:val="2"/>
          <w:numId w:val="4"/>
        </w:numPr>
        <w:jc w:val="both"/>
        <w:rPr>
          <w:sz w:val="28"/>
          <w:szCs w:val="28"/>
        </w:rPr>
      </w:pPr>
      <w:r>
        <w:rPr>
          <w:sz w:val="28"/>
          <w:szCs w:val="28"/>
        </w:rPr>
        <w:t>Note the reverse is not true: if input prices change, SRAS will shift but LRAS won’t shift.</w:t>
      </w:r>
    </w:p>
    <w:p w:rsidR="005640CC" w:rsidRDefault="005640CC" w:rsidP="005640CC">
      <w:pPr>
        <w:ind w:left="1080"/>
        <w:jc w:val="both"/>
        <w:rPr>
          <w:sz w:val="28"/>
          <w:szCs w:val="28"/>
        </w:rPr>
      </w:pPr>
      <w:r>
        <w:rPr>
          <w:sz w:val="28"/>
          <w:szCs w:val="28"/>
        </w:rPr>
      </w:r>
      <w:r>
        <w:rPr>
          <w:sz w:val="28"/>
          <w:szCs w:val="28"/>
        </w:rPr>
        <w:pict>
          <v:group id="_x0000_s1275" editas="canvas" style="width:187.05pt;height:186.95pt;mso-position-horizontal-relative:char;mso-position-vertical-relative:line" coordorigin="2680,5914" coordsize="2878,2876">
            <o:lock v:ext="edit" aspectratio="t"/>
            <v:shape id="_x0000_s1276" type="#_x0000_t75" style="position:absolute;left:2680;top:5914;width:2878;height:2876" o:preferrelative="f">
              <v:fill o:detectmouseclick="t"/>
              <v:path o:extrusionok="t" o:connecttype="none"/>
              <o:lock v:ext="edit" text="t"/>
            </v:shape>
            <v:shape id="_x0000_s1277" type="#_x0000_t32" style="position:absolute;left:2968;top:6058;width:0;height:2445" o:connectortype="straight" strokeweight="1.5pt"/>
            <v:shape id="_x0000_s1278" type="#_x0000_t32" style="position:absolute;left:2968;top:8503;width:2445;height:1" o:connectortype="straight" strokeweight="1.5pt"/>
            <v:shape id="_x0000_s1279" type="#_x0000_t202" style="position:absolute;left:5269;top:8503;width:289;height:287;v-text-anchor:middle" filled="f" stroked="f">
              <v:textbox style="mso-next-textbox:#_x0000_s1279" inset="0,0,0,0">
                <w:txbxContent>
                  <w:p w:rsidR="005640CC" w:rsidRPr="00833B27" w:rsidRDefault="005640CC" w:rsidP="005640CC">
                    <w:pPr>
                      <w:jc w:val="center"/>
                      <w:rPr>
                        <w:sz w:val="28"/>
                        <w:szCs w:val="28"/>
                      </w:rPr>
                    </w:pPr>
                    <w:r>
                      <w:rPr>
                        <w:sz w:val="28"/>
                        <w:szCs w:val="28"/>
                      </w:rPr>
                      <w:t>Y</w:t>
                    </w:r>
                    <w:r>
                      <w:rPr>
                        <w:sz w:val="28"/>
                        <w:szCs w:val="28"/>
                        <w:vertAlign w:val="subscript"/>
                      </w:rPr>
                      <w:t>R</w:t>
                    </w:r>
                  </w:p>
                </w:txbxContent>
              </v:textbox>
            </v:shape>
            <v:shape id="_x0000_s1280" type="#_x0000_t32" style="position:absolute;left:4694;top:6202;width:2;height:2301;flip:y" o:connectortype="straight" strokeweight="1.5pt"/>
            <v:shape id="_x0000_s1281" type="#_x0000_t202" style="position:absolute;left:4550;top:5946;width:634;height:285;v-text-anchor:middle" filled="f" stroked="f">
              <v:textbox style="mso-next-textbox:#_x0000_s1281" inset="0,0,0,0">
                <w:txbxContent>
                  <w:p w:rsidR="005640CC" w:rsidRPr="00833B27" w:rsidRDefault="005640CC" w:rsidP="005640CC">
                    <w:pPr>
                      <w:jc w:val="center"/>
                      <w:rPr>
                        <w:sz w:val="28"/>
                        <w:szCs w:val="28"/>
                      </w:rPr>
                    </w:pPr>
                    <w:r>
                      <w:rPr>
                        <w:sz w:val="28"/>
                        <w:szCs w:val="28"/>
                      </w:rPr>
                      <w:t>LRAS</w:t>
                    </w:r>
                  </w:p>
                </w:txbxContent>
              </v:textbox>
            </v:shape>
            <v:shape id="_x0000_s1282" type="#_x0000_t32" style="position:absolute;left:2968;top:6920;width:858;height:1;flip:x" o:connectortype="straight">
              <v:stroke dashstyle="longDash"/>
            </v:shape>
            <v:shape id="_x0000_s1283" type="#_x0000_t32" style="position:absolute;left:2968;top:7496;width:1725;height:2;flip:x" o:connectortype="straight">
              <v:stroke dashstyle="longDash"/>
            </v:shape>
            <v:shape id="_x0000_s1284" type="#_x0000_t32" style="position:absolute;left:3687;top:7209;width:1142;height:1" o:connectortype="straight">
              <v:stroke startarrow="block"/>
            </v:shape>
            <v:shape id="_x0000_s1285" type="#_x0000_t32" style="position:absolute;left:3026;top:6921;width:2;height:575;flip:x y" o:connectortype="straight">
              <v:stroke endarrow="block"/>
            </v:shape>
            <v:shape id="_x0000_s1286" type="#_x0000_t32" style="position:absolute;left:3255;top:6346;width:2158;height:2157" o:connectortype="straight" strokeweight="1.5pt"/>
            <v:shape id="_x0000_s1287" type="#_x0000_t202" style="position:absolute;left:2726;top:6519;width:186;height:1281;v-text-anchor:middle" filled="f" stroked="f">
              <v:textbox style="layout-flow:vertical;mso-layout-flow-alt:bottom-to-top;mso-next-textbox:#_x0000_s1287" inset="0,0,0,0">
                <w:txbxContent>
                  <w:p w:rsidR="005640CC" w:rsidRPr="00833B27" w:rsidRDefault="005640CC" w:rsidP="005640CC">
                    <w:pPr>
                      <w:jc w:val="center"/>
                      <w:rPr>
                        <w:sz w:val="28"/>
                        <w:szCs w:val="28"/>
                      </w:rPr>
                    </w:pPr>
                    <w:r>
                      <w:rPr>
                        <w:sz w:val="28"/>
                        <w:szCs w:val="28"/>
                      </w:rPr>
                      <w:t>Price level</w:t>
                    </w:r>
                  </w:p>
                </w:txbxContent>
              </v:textbox>
            </v:shape>
            <v:shape id="_x0000_s1288" type="#_x0000_t19" style="position:absolute;left:3362;top:6800;width:1683;height:1638;rotation:90" strokeweight="1.5pt"/>
            <v:shape id="_x0000_s1289" type="#_x0000_t202" style="position:absolute;left:4696;top:6519;width:627;height:285;v-text-anchor:middle" filled="f" stroked="f">
              <v:textbox style="mso-next-textbox:#_x0000_s1289" inset="0,0,0,0">
                <w:txbxContent>
                  <w:p w:rsidR="005640CC" w:rsidRPr="00833B27" w:rsidRDefault="005640CC" w:rsidP="005640CC">
                    <w:pPr>
                      <w:jc w:val="center"/>
                      <w:rPr>
                        <w:sz w:val="28"/>
                        <w:szCs w:val="28"/>
                      </w:rPr>
                    </w:pPr>
                    <w:r>
                      <w:rPr>
                        <w:sz w:val="28"/>
                        <w:szCs w:val="28"/>
                      </w:rPr>
                      <w:t>SRAS</w:t>
                    </w:r>
                  </w:p>
                </w:txbxContent>
              </v:textbox>
            </v:shape>
            <v:shape id="_x0000_s1290" type="#_x0000_t202" style="position:absolute;left:5023;top:7928;width:535;height:282;v-text-anchor:middle" filled="f" stroked="f">
              <v:textbox style="mso-next-textbox:#_x0000_s1290" inset="0,0,0,0">
                <w:txbxContent>
                  <w:p w:rsidR="005640CC" w:rsidRPr="00833B27" w:rsidRDefault="005640CC" w:rsidP="005640CC">
                    <w:pPr>
                      <w:jc w:val="center"/>
                      <w:rPr>
                        <w:sz w:val="28"/>
                        <w:szCs w:val="28"/>
                      </w:rPr>
                    </w:pPr>
                    <w:r>
                      <w:rPr>
                        <w:sz w:val="28"/>
                        <w:szCs w:val="28"/>
                      </w:rPr>
                      <w:t>AD</w:t>
                    </w:r>
                  </w:p>
                </w:txbxContent>
              </v:textbox>
            </v:shape>
            <v:shape id="_x0000_s1291" type="#_x0000_t32" style="position:absolute;left:3831;top:8443;width:865;height:1" o:connectortype="straight">
              <v:stroke startarrow="block"/>
            </v:shape>
            <v:shape id="_x0000_s1292" type="#_x0000_t32" style="position:absolute;left:3831;top:6202;width:1;height:2302;flip:y" o:connectortype="straight" strokeweight="1.5pt"/>
            <v:shape id="_x0000_s1293" type="#_x0000_t19" style="position:absolute;left:3097;top:6214;width:1034;height:1010;rotation:90" strokeweight="1.5pt"/>
            <v:shape id="_x0000_s1294" type="#_x0000_t202" style="position:absolute;left:3924;top:5917;width:626;height:285;v-text-anchor:middle" filled="f" stroked="f">
              <v:textbox style="mso-next-textbox:#_x0000_s1294" inset="0,0,0,0">
                <w:txbxContent>
                  <w:p w:rsidR="005640CC" w:rsidRPr="00833B27" w:rsidRDefault="005640CC" w:rsidP="005640CC">
                    <w:pPr>
                      <w:jc w:val="center"/>
                      <w:rPr>
                        <w:sz w:val="28"/>
                        <w:szCs w:val="28"/>
                      </w:rPr>
                    </w:pPr>
                    <w:r>
                      <w:rPr>
                        <w:sz w:val="28"/>
                        <w:szCs w:val="28"/>
                      </w:rPr>
                      <w:t>SRAS’</w:t>
                    </w:r>
                  </w:p>
                </w:txbxContent>
              </v:textbox>
            </v:shape>
            <v:shape id="_x0000_s1295" type="#_x0000_t202" style="position:absolute;left:3288;top:5946;width:687;height:285;v-text-anchor:middle" filled="f" stroked="f">
              <v:textbox style="mso-next-textbox:#_x0000_s1295" inset="0,0,0,0">
                <w:txbxContent>
                  <w:p w:rsidR="005640CC" w:rsidRPr="00833B27" w:rsidRDefault="005640CC" w:rsidP="005640CC">
                    <w:pPr>
                      <w:jc w:val="center"/>
                      <w:rPr>
                        <w:sz w:val="28"/>
                        <w:szCs w:val="28"/>
                      </w:rPr>
                    </w:pPr>
                    <w:r>
                      <w:rPr>
                        <w:sz w:val="28"/>
                        <w:szCs w:val="28"/>
                      </w:rPr>
                      <w:t>LRAS’</w:t>
                    </w:r>
                  </w:p>
                </w:txbxContent>
              </v:textbox>
            </v:shape>
            <w10:wrap type="none"/>
            <w10:anchorlock/>
          </v:group>
        </w:pict>
      </w:r>
      <w:r>
        <w:rPr>
          <w:sz w:val="28"/>
          <w:szCs w:val="28"/>
        </w:rPr>
      </w:r>
      <w:r>
        <w:rPr>
          <w:sz w:val="28"/>
          <w:szCs w:val="28"/>
        </w:rPr>
        <w:pict>
          <v:group id="_x0000_s1251" editas="canvas" style="width:187.1pt;height:186.95pt;mso-position-horizontal-relative:char;mso-position-vertical-relative:line" coordorigin="2680,5914" coordsize="2879,2876">
            <o:lock v:ext="edit" aspectratio="t"/>
            <v:shape id="_x0000_s1252" type="#_x0000_t75" style="position:absolute;left:2680;top:5914;width:2879;height:2876" o:preferrelative="f">
              <v:fill o:detectmouseclick="t"/>
              <v:path o:extrusionok="t" o:connecttype="none"/>
              <o:lock v:ext="edit" text="t"/>
            </v:shape>
            <v:shape id="_x0000_s1253" type="#_x0000_t32" style="position:absolute;left:2968;top:6058;width:0;height:2445" o:connectortype="straight" strokeweight="1.5pt"/>
            <v:shape id="_x0000_s1254" type="#_x0000_t32" style="position:absolute;left:2968;top:8503;width:2445;height:1" o:connectortype="straight" strokeweight="1.5pt"/>
            <v:shape id="_x0000_s1255" type="#_x0000_t202" style="position:absolute;left:5269;top:8503;width:289;height:287;v-text-anchor:middle" filled="f" stroked="f">
              <v:textbox style="mso-next-textbox:#_x0000_s1255" inset="0,0,0,0">
                <w:txbxContent>
                  <w:p w:rsidR="005640CC" w:rsidRPr="00833B27" w:rsidRDefault="005640CC" w:rsidP="005640CC">
                    <w:pPr>
                      <w:jc w:val="center"/>
                      <w:rPr>
                        <w:sz w:val="28"/>
                        <w:szCs w:val="28"/>
                      </w:rPr>
                    </w:pPr>
                    <w:r>
                      <w:rPr>
                        <w:sz w:val="28"/>
                        <w:szCs w:val="28"/>
                      </w:rPr>
                      <w:t>Y</w:t>
                    </w:r>
                    <w:r>
                      <w:rPr>
                        <w:sz w:val="28"/>
                        <w:szCs w:val="28"/>
                        <w:vertAlign w:val="subscript"/>
                      </w:rPr>
                      <w:t>R</w:t>
                    </w:r>
                  </w:p>
                </w:txbxContent>
              </v:textbox>
            </v:shape>
            <v:shape id="_x0000_s1256" type="#_x0000_t32" style="position:absolute;left:4694;top:6202;width:2;height:2301;flip:y" o:connectortype="straight" strokeweight="1.5pt"/>
            <v:shape id="_x0000_s1257" type="#_x0000_t202" style="position:absolute;left:4550;top:5946;width:634;height:285;v-text-anchor:middle" filled="f" stroked="f">
              <v:textbox style="mso-next-textbox:#_x0000_s1257" inset="0,0,0,0">
                <w:txbxContent>
                  <w:p w:rsidR="005640CC" w:rsidRPr="00833B27" w:rsidRDefault="005640CC" w:rsidP="005640CC">
                    <w:pPr>
                      <w:jc w:val="center"/>
                      <w:rPr>
                        <w:sz w:val="28"/>
                        <w:szCs w:val="28"/>
                      </w:rPr>
                    </w:pPr>
                    <w:r>
                      <w:rPr>
                        <w:sz w:val="28"/>
                        <w:szCs w:val="28"/>
                      </w:rPr>
                      <w:t>LRAS</w:t>
                    </w:r>
                  </w:p>
                </w:txbxContent>
              </v:textbox>
            </v:shape>
            <v:shape id="_x0000_s1258" type="#_x0000_t32" style="position:absolute;left:2968;top:6920;width:858;height:1;flip:x" o:connectortype="straight">
              <v:stroke dashstyle="longDash"/>
            </v:shape>
            <v:shape id="_x0000_s1259" type="#_x0000_t32" style="position:absolute;left:4263;top:7221;width:141;height:137;flip:y" o:connectortype="straight">
              <v:stroke endarrow="block"/>
            </v:shape>
            <v:shape id="_x0000_s1260" type="#_x0000_t32" style="position:absolute;left:3254;top:6346;width:2160;height:2157" o:connectortype="straight" strokeweight="1.5pt"/>
            <v:shape id="_x0000_s1261" type="#_x0000_t202" style="position:absolute;left:2726;top:6519;width:186;height:1281;v-text-anchor:middle" filled="f" stroked="f">
              <v:textbox style="layout-flow:vertical;mso-layout-flow-alt:bottom-to-top;mso-next-textbox:#_x0000_s1261" inset="0,0,0,0">
                <w:txbxContent>
                  <w:p w:rsidR="005640CC" w:rsidRPr="00833B27" w:rsidRDefault="005640CC" w:rsidP="005640CC">
                    <w:pPr>
                      <w:jc w:val="center"/>
                      <w:rPr>
                        <w:sz w:val="28"/>
                        <w:szCs w:val="28"/>
                      </w:rPr>
                    </w:pPr>
                    <w:r>
                      <w:rPr>
                        <w:sz w:val="28"/>
                        <w:szCs w:val="28"/>
                      </w:rPr>
                      <w:t>Price level</w:t>
                    </w:r>
                  </w:p>
                </w:txbxContent>
              </v:textbox>
            </v:shape>
            <v:shape id="_x0000_s1262" type="#_x0000_t19" style="position:absolute;left:3362;top:6800;width:1683;height:1638;rotation:90" strokeweight="1.5pt"/>
            <v:shape id="_x0000_s1263" type="#_x0000_t202" style="position:absolute;left:4696;top:6519;width:627;height:285;v-text-anchor:middle" filled="f" stroked="f">
              <v:textbox style="mso-next-textbox:#_x0000_s1263" inset="0,0,0,0">
                <w:txbxContent>
                  <w:p w:rsidR="005640CC" w:rsidRPr="00833B27" w:rsidRDefault="005640CC" w:rsidP="005640CC">
                    <w:pPr>
                      <w:jc w:val="center"/>
                      <w:rPr>
                        <w:sz w:val="28"/>
                        <w:szCs w:val="28"/>
                      </w:rPr>
                    </w:pPr>
                    <w:r>
                      <w:rPr>
                        <w:sz w:val="28"/>
                        <w:szCs w:val="28"/>
                      </w:rPr>
                      <w:t>SRAS</w:t>
                    </w:r>
                  </w:p>
                </w:txbxContent>
              </v:textbox>
            </v:shape>
            <v:shape id="_x0000_s1264" type="#_x0000_t202" style="position:absolute;left:5023;top:7645;width:535;height:283;v-text-anchor:middle" filled="f" stroked="f">
              <v:textbox style="mso-next-textbox:#_x0000_s1264" inset="0,0,0,0">
                <w:txbxContent>
                  <w:p w:rsidR="005640CC" w:rsidRPr="00833B27" w:rsidRDefault="005640CC" w:rsidP="005640CC">
                    <w:pPr>
                      <w:jc w:val="center"/>
                      <w:rPr>
                        <w:sz w:val="28"/>
                        <w:szCs w:val="28"/>
                      </w:rPr>
                    </w:pPr>
                    <w:r>
                      <w:rPr>
                        <w:sz w:val="28"/>
                        <w:szCs w:val="28"/>
                      </w:rPr>
                      <w:t>AD’</w:t>
                    </w:r>
                  </w:p>
                </w:txbxContent>
              </v:textbox>
            </v:shape>
            <v:shape id="_x0000_s1265" type="#_x0000_t32" style="position:absolute;left:3831;top:6202;width:1;height:2302;flip:y" o:connectortype="straight" strokeweight="1.5pt"/>
            <v:shape id="_x0000_s1266" type="#_x0000_t19" style="position:absolute;left:3097;top:6214;width:1034;height:1010;rotation:90" strokeweight="1.5pt"/>
            <v:shape id="_x0000_s1267" type="#_x0000_t202" style="position:absolute;left:3924;top:5917;width:626;height:285;v-text-anchor:middle" filled="f" stroked="f">
              <v:textbox style="mso-next-textbox:#_x0000_s1267" inset="0,0,0,0">
                <w:txbxContent>
                  <w:p w:rsidR="005640CC" w:rsidRPr="00833B27" w:rsidRDefault="005640CC" w:rsidP="005640CC">
                    <w:pPr>
                      <w:jc w:val="center"/>
                      <w:rPr>
                        <w:sz w:val="28"/>
                        <w:szCs w:val="28"/>
                      </w:rPr>
                    </w:pPr>
                    <w:r>
                      <w:rPr>
                        <w:sz w:val="28"/>
                        <w:szCs w:val="28"/>
                      </w:rPr>
                      <w:t>SRAS’</w:t>
                    </w:r>
                  </w:p>
                </w:txbxContent>
              </v:textbox>
            </v:shape>
            <v:shape id="_x0000_s1268" type="#_x0000_t202" style="position:absolute;left:3288;top:5946;width:687;height:285;v-text-anchor:middle" filled="f" stroked="f">
              <v:textbox style="mso-next-textbox:#_x0000_s1268" inset="0,0,0,0">
                <w:txbxContent>
                  <w:p w:rsidR="005640CC" w:rsidRPr="00833B27" w:rsidRDefault="005640CC" w:rsidP="005640CC">
                    <w:pPr>
                      <w:jc w:val="center"/>
                      <w:rPr>
                        <w:sz w:val="28"/>
                        <w:szCs w:val="28"/>
                      </w:rPr>
                    </w:pPr>
                    <w:r>
                      <w:rPr>
                        <w:sz w:val="28"/>
                        <w:szCs w:val="28"/>
                      </w:rPr>
                      <w:t>LRAS’</w:t>
                    </w:r>
                  </w:p>
                </w:txbxContent>
              </v:textbox>
            </v:shape>
            <v:shape id="_x0000_s1269" type="#_x0000_t32" style="position:absolute;left:3399;top:6202;width:1727;height:1726" o:connectortype="straight" strokeweight="1.5pt"/>
            <v:shape id="_x0000_s1270" type="#_x0000_t202" style="position:absolute;left:5184;top:8112;width:374;height:283;v-text-anchor:middle" filled="f" stroked="f">
              <v:textbox style="mso-next-textbox:#_x0000_s1270" inset="0,0,0,0">
                <w:txbxContent>
                  <w:p w:rsidR="005640CC" w:rsidRPr="00833B27" w:rsidRDefault="005640CC" w:rsidP="005640CC">
                    <w:pPr>
                      <w:jc w:val="center"/>
                      <w:rPr>
                        <w:sz w:val="28"/>
                        <w:szCs w:val="28"/>
                      </w:rPr>
                    </w:pPr>
                    <w:r>
                      <w:rPr>
                        <w:sz w:val="28"/>
                        <w:szCs w:val="28"/>
                      </w:rPr>
                      <w:t>AD</w:t>
                    </w:r>
                  </w:p>
                </w:txbxContent>
              </v:textbox>
            </v:shape>
            <v:shape id="_x0000_s1271" type="#_x0000_t32" style="position:absolute;left:2968;top:6776;width:1000;height:1;flip:x" o:connectortype="straight">
              <v:stroke dashstyle="longDash"/>
            </v:shape>
            <v:shape id="_x0000_s1272" type="#_x0000_t32" style="position:absolute;left:3963;top:6804;width:1;height:1684;flip:y" o:connectortype="straight">
              <v:stroke dashstyle="longDash"/>
            </v:shape>
            <v:shape id="_x0000_s1273" type="#_x0000_t32" style="position:absolute;left:3823;top:8452;width:143;height:3" o:connectortype="straight">
              <v:stroke endarrow="block"/>
            </v:shape>
            <v:shape id="_x0000_s1274" type="#_x0000_t32" style="position:absolute;left:3029;top:6783;width:2;height:137;flip:y" o:connectortype="straight">
              <v:stroke endarrow="block"/>
            </v:shape>
            <w10:wrap type="none"/>
            <w10:anchorlock/>
          </v:group>
        </w:pict>
      </w:r>
    </w:p>
    <w:p w:rsidR="005640CC" w:rsidRDefault="005640CC" w:rsidP="005640CC">
      <w:pPr>
        <w:numPr>
          <w:ilvl w:val="1"/>
          <w:numId w:val="4"/>
        </w:numPr>
        <w:jc w:val="both"/>
        <w:rPr>
          <w:sz w:val="28"/>
          <w:szCs w:val="28"/>
        </w:rPr>
      </w:pPr>
      <w:r>
        <w:rPr>
          <w:sz w:val="28"/>
          <w:szCs w:val="28"/>
        </w:rPr>
        <w:t>As this illustrates, deficit spending can’t handle real shocks well. You must address the root of the problem.</w:t>
      </w:r>
    </w:p>
    <w:p w:rsidR="005640CC" w:rsidRDefault="005640CC" w:rsidP="005640CC">
      <w:pPr>
        <w:numPr>
          <w:ilvl w:val="0"/>
          <w:numId w:val="4"/>
        </w:numPr>
        <w:jc w:val="both"/>
        <w:rPr>
          <w:sz w:val="28"/>
          <w:szCs w:val="28"/>
        </w:rPr>
      </w:pPr>
      <w:r>
        <w:rPr>
          <w:sz w:val="28"/>
          <w:szCs w:val="28"/>
        </w:rPr>
        <w:t>A matter of timing</w:t>
      </w:r>
    </w:p>
    <w:p w:rsidR="005640CC" w:rsidRDefault="005640CC" w:rsidP="005640CC">
      <w:pPr>
        <w:numPr>
          <w:ilvl w:val="1"/>
          <w:numId w:val="4"/>
        </w:numPr>
        <w:jc w:val="both"/>
        <w:rPr>
          <w:sz w:val="28"/>
          <w:szCs w:val="28"/>
        </w:rPr>
      </w:pPr>
      <w:r>
        <w:rPr>
          <w:sz w:val="28"/>
          <w:szCs w:val="28"/>
        </w:rPr>
        <w:t>Drops in AD are not permanent; the economy will recover if the government does nothing. Fiscal policy is good for assuaging the pain of a recession in the meantime.</w:t>
      </w:r>
    </w:p>
    <w:p w:rsidR="005640CC" w:rsidRDefault="005640CC" w:rsidP="005640CC">
      <w:pPr>
        <w:numPr>
          <w:ilvl w:val="1"/>
          <w:numId w:val="4"/>
        </w:numPr>
        <w:jc w:val="both"/>
        <w:rPr>
          <w:sz w:val="28"/>
          <w:szCs w:val="28"/>
        </w:rPr>
      </w:pPr>
      <w:r>
        <w:rPr>
          <w:sz w:val="28"/>
          <w:szCs w:val="28"/>
        </w:rPr>
        <w:t>Automatic/built-in stabilizers happen immediately, but they are relatively small to what needs to be done. Law makers must act.</w:t>
      </w:r>
    </w:p>
    <w:p w:rsidR="005640CC" w:rsidRDefault="005640CC" w:rsidP="005640CC">
      <w:pPr>
        <w:numPr>
          <w:ilvl w:val="1"/>
          <w:numId w:val="4"/>
        </w:numPr>
        <w:jc w:val="both"/>
        <w:rPr>
          <w:sz w:val="28"/>
          <w:szCs w:val="28"/>
        </w:rPr>
      </w:pPr>
      <w:r>
        <w:rPr>
          <w:sz w:val="28"/>
          <w:szCs w:val="28"/>
        </w:rPr>
        <w:t>But in practice, it takes time for fiscal policy to take effect. It faces several different lags:</w:t>
      </w:r>
    </w:p>
    <w:p w:rsidR="005640CC" w:rsidRDefault="005640CC" w:rsidP="005640CC">
      <w:pPr>
        <w:numPr>
          <w:ilvl w:val="2"/>
          <w:numId w:val="4"/>
        </w:numPr>
        <w:jc w:val="both"/>
        <w:rPr>
          <w:sz w:val="28"/>
          <w:szCs w:val="28"/>
        </w:rPr>
      </w:pPr>
      <w:r>
        <w:rPr>
          <w:sz w:val="28"/>
          <w:szCs w:val="28"/>
        </w:rPr>
        <w:t>Recognition lag—It takes times to identify a problem</w:t>
      </w:r>
    </w:p>
    <w:p w:rsidR="005640CC" w:rsidRDefault="005640CC" w:rsidP="005640CC">
      <w:pPr>
        <w:numPr>
          <w:ilvl w:val="2"/>
          <w:numId w:val="4"/>
        </w:numPr>
        <w:jc w:val="both"/>
        <w:rPr>
          <w:sz w:val="28"/>
          <w:szCs w:val="28"/>
        </w:rPr>
      </w:pPr>
      <w:r>
        <w:rPr>
          <w:sz w:val="28"/>
          <w:szCs w:val="28"/>
        </w:rPr>
        <w:t>Legislative lag—The government must propose and pass a plan</w:t>
      </w:r>
    </w:p>
    <w:p w:rsidR="005640CC" w:rsidRDefault="005640CC" w:rsidP="005640CC">
      <w:pPr>
        <w:numPr>
          <w:ilvl w:val="2"/>
          <w:numId w:val="4"/>
        </w:numPr>
        <w:jc w:val="both"/>
        <w:rPr>
          <w:sz w:val="28"/>
          <w:szCs w:val="28"/>
        </w:rPr>
      </w:pPr>
      <w:r>
        <w:rPr>
          <w:sz w:val="28"/>
          <w:szCs w:val="28"/>
        </w:rPr>
        <w:t>Implementation lag—Bureaucracies must implement the plan</w:t>
      </w:r>
    </w:p>
    <w:p w:rsidR="005640CC" w:rsidRDefault="005640CC" w:rsidP="005640CC">
      <w:pPr>
        <w:numPr>
          <w:ilvl w:val="2"/>
          <w:numId w:val="4"/>
        </w:numPr>
        <w:jc w:val="both"/>
        <w:rPr>
          <w:sz w:val="28"/>
          <w:szCs w:val="28"/>
        </w:rPr>
      </w:pPr>
      <w:r>
        <w:rPr>
          <w:sz w:val="28"/>
          <w:szCs w:val="28"/>
        </w:rPr>
        <w:t>Effectiveness lag—It takes time for the plan to work</w:t>
      </w:r>
    </w:p>
    <w:p w:rsidR="005640CC" w:rsidRPr="00BE162A" w:rsidRDefault="005640CC" w:rsidP="005640CC">
      <w:pPr>
        <w:numPr>
          <w:ilvl w:val="1"/>
          <w:numId w:val="4"/>
        </w:numPr>
        <w:jc w:val="both"/>
        <w:rPr>
          <w:sz w:val="28"/>
          <w:szCs w:val="28"/>
        </w:rPr>
      </w:pPr>
      <w:r>
        <w:rPr>
          <w:sz w:val="28"/>
          <w:szCs w:val="28"/>
        </w:rPr>
        <w:t>In practice, it can take years for the policy to actually have an effect on the economy. By then the crisis might have already passed and now the additional spending creates problems rather than solves them.</w:t>
      </w:r>
    </w:p>
    <w:p w:rsidR="005640CC" w:rsidRDefault="005640CC" w:rsidP="005640CC">
      <w:pPr>
        <w:numPr>
          <w:ilvl w:val="2"/>
          <w:numId w:val="4"/>
        </w:numPr>
        <w:jc w:val="both"/>
        <w:rPr>
          <w:sz w:val="28"/>
          <w:szCs w:val="28"/>
        </w:rPr>
      </w:pPr>
      <w:r>
        <w:rPr>
          <w:sz w:val="28"/>
          <w:szCs w:val="28"/>
        </w:rPr>
        <w:t>As President Obama would later say, “There’s no such thing as shovel-ready projects.”</w:t>
      </w:r>
      <w:r>
        <w:rPr>
          <w:rStyle w:val="FootnoteReference"/>
          <w:sz w:val="28"/>
          <w:szCs w:val="28"/>
        </w:rPr>
        <w:footnoteReference w:id="2"/>
      </w:r>
    </w:p>
    <w:p w:rsidR="005640CC" w:rsidRDefault="005640CC" w:rsidP="005640CC">
      <w:pPr>
        <w:numPr>
          <w:ilvl w:val="0"/>
          <w:numId w:val="4"/>
        </w:numPr>
        <w:jc w:val="both"/>
        <w:rPr>
          <w:sz w:val="28"/>
          <w:szCs w:val="28"/>
        </w:rPr>
      </w:pPr>
      <w:r>
        <w:rPr>
          <w:sz w:val="28"/>
          <w:szCs w:val="28"/>
        </w:rPr>
        <w:t>Crowding Out</w:t>
      </w:r>
    </w:p>
    <w:p w:rsidR="005640CC" w:rsidRDefault="005640CC" w:rsidP="005640CC">
      <w:pPr>
        <w:numPr>
          <w:ilvl w:val="1"/>
          <w:numId w:val="4"/>
        </w:numPr>
        <w:jc w:val="both"/>
        <w:rPr>
          <w:sz w:val="28"/>
          <w:szCs w:val="28"/>
        </w:rPr>
      </w:pPr>
      <w:r>
        <w:rPr>
          <w:sz w:val="28"/>
          <w:szCs w:val="28"/>
        </w:rPr>
        <w:t xml:space="preserve">When the government increases its spending, it must fund that spending somehow. We discussed how increasing spending can’t be </w:t>
      </w:r>
      <w:r>
        <w:rPr>
          <w:sz w:val="28"/>
          <w:szCs w:val="28"/>
        </w:rPr>
        <w:lastRenderedPageBreak/>
        <w:t>funded with taxes because there’d be no net effect (AD will shift right because of the spending but will shift back left because of the taxes).</w:t>
      </w:r>
    </w:p>
    <w:p w:rsidR="005640CC" w:rsidRDefault="005640CC" w:rsidP="005640CC">
      <w:pPr>
        <w:numPr>
          <w:ilvl w:val="1"/>
          <w:numId w:val="4"/>
        </w:numPr>
        <w:jc w:val="both"/>
        <w:rPr>
          <w:sz w:val="28"/>
          <w:szCs w:val="28"/>
        </w:rPr>
      </w:pPr>
      <w:r>
        <w:rPr>
          <w:sz w:val="28"/>
          <w:szCs w:val="28"/>
        </w:rPr>
        <w:t xml:space="preserve">The danger is what we call </w:t>
      </w:r>
      <w:r>
        <w:rPr>
          <w:i/>
          <w:sz w:val="28"/>
          <w:szCs w:val="28"/>
        </w:rPr>
        <w:t>crowding out</w:t>
      </w:r>
      <w:r>
        <w:rPr>
          <w:sz w:val="28"/>
          <w:szCs w:val="28"/>
        </w:rPr>
        <w:t>—an increase in government spending is offset by a decrease in private spending.</w:t>
      </w:r>
    </w:p>
    <w:p w:rsidR="005640CC" w:rsidRDefault="005640CC" w:rsidP="005640CC">
      <w:pPr>
        <w:numPr>
          <w:ilvl w:val="1"/>
          <w:numId w:val="4"/>
        </w:numPr>
        <w:jc w:val="both"/>
        <w:rPr>
          <w:sz w:val="28"/>
          <w:szCs w:val="28"/>
        </w:rPr>
      </w:pPr>
      <w:r>
        <w:rPr>
          <w:sz w:val="28"/>
          <w:szCs w:val="28"/>
        </w:rPr>
        <w:t>When the government funds such spending with borrowing, we call it deficit spending. But this also comes with a danger of crowding out. The effect is twofold.</w:t>
      </w:r>
    </w:p>
    <w:p w:rsidR="005640CC" w:rsidRDefault="005640CC" w:rsidP="005640CC">
      <w:pPr>
        <w:numPr>
          <w:ilvl w:val="2"/>
          <w:numId w:val="4"/>
        </w:numPr>
        <w:jc w:val="both"/>
        <w:rPr>
          <w:sz w:val="28"/>
          <w:szCs w:val="28"/>
        </w:rPr>
      </w:pPr>
      <w:r>
        <w:rPr>
          <w:sz w:val="28"/>
          <w:szCs w:val="28"/>
        </w:rPr>
        <w:t>As the government borrows, it uses savings that would have gone to private-sector investment. The government might build a bridge, but as a result there’s one less factory. The government is simply substituting one kind of spending or investment for another.</w:t>
      </w:r>
    </w:p>
    <w:p w:rsidR="005640CC" w:rsidRDefault="005640CC" w:rsidP="005640CC">
      <w:pPr>
        <w:numPr>
          <w:ilvl w:val="2"/>
          <w:numId w:val="4"/>
        </w:numPr>
        <w:jc w:val="both"/>
        <w:rPr>
          <w:sz w:val="28"/>
          <w:szCs w:val="28"/>
        </w:rPr>
      </w:pPr>
      <w:r>
        <w:rPr>
          <w:sz w:val="28"/>
          <w:szCs w:val="28"/>
        </w:rPr>
        <w:t>As the government borrows, it puts upward pressure on interest rates which causes more saving (and thus less consumption) and less private-sector borrowing.</w:t>
      </w:r>
    </w:p>
    <w:p w:rsidR="005640CC" w:rsidRDefault="005640CC" w:rsidP="005640CC">
      <w:pPr>
        <w:numPr>
          <w:ilvl w:val="2"/>
          <w:numId w:val="4"/>
        </w:numPr>
        <w:jc w:val="both"/>
        <w:rPr>
          <w:sz w:val="28"/>
          <w:szCs w:val="28"/>
        </w:rPr>
      </w:pPr>
      <w:r>
        <w:rPr>
          <w:sz w:val="28"/>
          <w:szCs w:val="28"/>
        </w:rPr>
        <w:t>Crowding out private-sector spending is less of an issue during a recession because people are already reluctant to invest and spend. The money in the banks is just sitting there, doing nothing. So the government lays claim to it.</w:t>
      </w:r>
    </w:p>
    <w:p w:rsidR="005640CC" w:rsidRDefault="005640CC" w:rsidP="005640CC">
      <w:pPr>
        <w:numPr>
          <w:ilvl w:val="0"/>
          <w:numId w:val="4"/>
        </w:numPr>
        <w:jc w:val="both"/>
        <w:rPr>
          <w:sz w:val="28"/>
          <w:szCs w:val="28"/>
        </w:rPr>
      </w:pPr>
      <w:r>
        <w:rPr>
          <w:sz w:val="28"/>
          <w:szCs w:val="28"/>
        </w:rPr>
        <w:t>American Recovery and Reinvestment Act In Practice</w:t>
      </w:r>
    </w:p>
    <w:p w:rsidR="005640CC" w:rsidRDefault="005640CC" w:rsidP="005640CC">
      <w:pPr>
        <w:numPr>
          <w:ilvl w:val="1"/>
          <w:numId w:val="4"/>
        </w:numPr>
        <w:jc w:val="both"/>
        <w:rPr>
          <w:sz w:val="28"/>
          <w:szCs w:val="28"/>
        </w:rPr>
      </w:pPr>
      <w:r>
        <w:rPr>
          <w:sz w:val="28"/>
          <w:szCs w:val="28"/>
        </w:rPr>
        <w:t>The American Recovery and Reinvestment Act (ARRA) was an $800 billion stimulus package passed in 2009. It set out to do what all stimulus packages set out to do: put people back to work and increase GDP.</w:t>
      </w:r>
    </w:p>
    <w:p w:rsidR="005640CC" w:rsidRDefault="005640CC" w:rsidP="005640CC">
      <w:pPr>
        <w:numPr>
          <w:ilvl w:val="2"/>
          <w:numId w:val="4"/>
        </w:numPr>
        <w:jc w:val="both"/>
        <w:rPr>
          <w:sz w:val="28"/>
          <w:szCs w:val="28"/>
        </w:rPr>
      </w:pPr>
      <w:r>
        <w:rPr>
          <w:sz w:val="28"/>
          <w:szCs w:val="28"/>
        </w:rPr>
        <w:t>It includes money to food banks, elderly care, health research, and many other places.</w:t>
      </w:r>
    </w:p>
    <w:p w:rsidR="005640CC" w:rsidRDefault="005640CC" w:rsidP="005640CC">
      <w:pPr>
        <w:numPr>
          <w:ilvl w:val="1"/>
          <w:numId w:val="4"/>
        </w:numPr>
        <w:jc w:val="both"/>
        <w:rPr>
          <w:sz w:val="28"/>
          <w:szCs w:val="28"/>
        </w:rPr>
      </w:pPr>
      <w:r>
        <w:rPr>
          <w:sz w:val="28"/>
          <w:szCs w:val="28"/>
        </w:rPr>
        <w:t xml:space="preserve">The big issue during recessions is unemployment. In 2011, economists </w:t>
      </w:r>
      <w:proofErr w:type="spellStart"/>
      <w:r>
        <w:rPr>
          <w:sz w:val="28"/>
          <w:szCs w:val="28"/>
        </w:rPr>
        <w:t>Garett</w:t>
      </w:r>
      <w:proofErr w:type="spellEnd"/>
      <w:r>
        <w:rPr>
          <w:sz w:val="28"/>
          <w:szCs w:val="28"/>
        </w:rPr>
        <w:t xml:space="preserve"> Jones and Daniel Rothschild completed a study of the ARRA to determine where the money went and the effect it had.</w:t>
      </w:r>
      <w:r>
        <w:rPr>
          <w:rStyle w:val="FootnoteReference"/>
          <w:sz w:val="28"/>
          <w:szCs w:val="28"/>
        </w:rPr>
        <w:footnoteReference w:id="3"/>
      </w:r>
      <w:r>
        <w:rPr>
          <w:sz w:val="28"/>
          <w:szCs w:val="28"/>
        </w:rPr>
        <w:t xml:space="preserve"> We’ll focus on their employment results.</w:t>
      </w:r>
      <w:r>
        <w:rPr>
          <w:rStyle w:val="FootnoteReference"/>
          <w:sz w:val="28"/>
          <w:szCs w:val="28"/>
        </w:rPr>
        <w:footnoteReference w:id="4"/>
      </w:r>
    </w:p>
    <w:p w:rsidR="005640CC" w:rsidRDefault="005640CC" w:rsidP="005640CC">
      <w:pPr>
        <w:numPr>
          <w:ilvl w:val="1"/>
          <w:numId w:val="4"/>
        </w:numPr>
        <w:jc w:val="both"/>
        <w:rPr>
          <w:sz w:val="28"/>
          <w:szCs w:val="28"/>
        </w:rPr>
      </w:pPr>
      <w:r>
        <w:rPr>
          <w:sz w:val="28"/>
          <w:szCs w:val="28"/>
        </w:rPr>
        <w:t>The companies that benefited from the stimulus were busy despite the recession. This is because the bureaucracies usually went to trusted firms, firms they typically work with (to avoid the potential of a scandal). Such firms are already busy.</w:t>
      </w:r>
    </w:p>
    <w:p w:rsidR="005640CC" w:rsidRDefault="005640CC" w:rsidP="005640CC">
      <w:pPr>
        <w:numPr>
          <w:ilvl w:val="1"/>
          <w:numId w:val="4"/>
        </w:numPr>
        <w:jc w:val="both"/>
        <w:rPr>
          <w:sz w:val="28"/>
          <w:szCs w:val="28"/>
        </w:rPr>
      </w:pPr>
      <w:r>
        <w:rPr>
          <w:sz w:val="28"/>
          <w:szCs w:val="28"/>
        </w:rPr>
        <w:t xml:space="preserve">Moreover, Jones and Rothschild found 42% of the workers hired because of the stimulus came from the unemployed; 47% came from other jobs. </w:t>
      </w:r>
    </w:p>
    <w:p w:rsidR="005640CC" w:rsidRDefault="005640CC" w:rsidP="005640CC">
      <w:pPr>
        <w:numPr>
          <w:ilvl w:val="2"/>
          <w:numId w:val="4"/>
        </w:numPr>
        <w:jc w:val="both"/>
        <w:rPr>
          <w:sz w:val="28"/>
          <w:szCs w:val="28"/>
        </w:rPr>
      </w:pPr>
      <w:r>
        <w:rPr>
          <w:sz w:val="28"/>
          <w:szCs w:val="28"/>
        </w:rPr>
        <w:lastRenderedPageBreak/>
        <w:t>Now for some context: in normal economic circumstances in the United States, about half of the people hired come from unemployment.</w:t>
      </w:r>
    </w:p>
    <w:p w:rsidR="005640CC" w:rsidRDefault="005640CC" w:rsidP="005640CC">
      <w:pPr>
        <w:numPr>
          <w:ilvl w:val="2"/>
          <w:numId w:val="4"/>
        </w:numPr>
        <w:jc w:val="both"/>
        <w:rPr>
          <w:sz w:val="28"/>
          <w:szCs w:val="28"/>
        </w:rPr>
      </w:pPr>
      <w:r>
        <w:rPr>
          <w:sz w:val="28"/>
          <w:szCs w:val="28"/>
        </w:rPr>
        <w:t>Shouldn’t it be easier to hire workers from unemployment when the economy’s weak? The stimulus apparently had a harder time.</w:t>
      </w:r>
    </w:p>
    <w:p w:rsidR="005640CC" w:rsidRDefault="005640CC" w:rsidP="005640CC">
      <w:pPr>
        <w:numPr>
          <w:ilvl w:val="2"/>
          <w:numId w:val="4"/>
        </w:numPr>
        <w:jc w:val="both"/>
        <w:rPr>
          <w:sz w:val="28"/>
          <w:szCs w:val="28"/>
        </w:rPr>
      </w:pPr>
      <w:r>
        <w:rPr>
          <w:sz w:val="28"/>
          <w:szCs w:val="28"/>
        </w:rPr>
        <w:t>Why did it have a hard time? Because a lot of the money went to high-skilled sectors such as engineers and medical researchers. Of the Jones/Rothschild survey respondents, half had at least bachelor’s degree and one-fourth had a graduate degree.</w:t>
      </w:r>
    </w:p>
    <w:p w:rsidR="005640CC" w:rsidRPr="00E92B46" w:rsidRDefault="005640CC" w:rsidP="005640CC">
      <w:pPr>
        <w:numPr>
          <w:ilvl w:val="2"/>
          <w:numId w:val="4"/>
        </w:numPr>
        <w:jc w:val="both"/>
        <w:rPr>
          <w:sz w:val="28"/>
          <w:szCs w:val="28"/>
        </w:rPr>
      </w:pPr>
      <w:r w:rsidRPr="00E92B46">
        <w:rPr>
          <w:sz w:val="28"/>
          <w:szCs w:val="28"/>
        </w:rPr>
        <w:t>The data suggests there was labor-market tightness. Qualified people were pretty hard to find after the recession; not something you’d expect.</w:t>
      </w:r>
      <w:r>
        <w:rPr>
          <w:sz w:val="28"/>
          <w:szCs w:val="28"/>
        </w:rPr>
        <w:t xml:space="preserve"> </w:t>
      </w:r>
      <w:r w:rsidRPr="00E92B46">
        <w:rPr>
          <w:sz w:val="28"/>
          <w:szCs w:val="28"/>
        </w:rPr>
        <w:t>If the stimulus was well-targeted, it should have been easy to find qualified people.</w:t>
      </w:r>
    </w:p>
    <w:p w:rsidR="005640CC" w:rsidRDefault="005640CC" w:rsidP="005640CC">
      <w:pPr>
        <w:numPr>
          <w:ilvl w:val="1"/>
          <w:numId w:val="4"/>
        </w:numPr>
        <w:jc w:val="both"/>
        <w:rPr>
          <w:sz w:val="28"/>
          <w:szCs w:val="28"/>
        </w:rPr>
      </w:pPr>
      <w:r>
        <w:rPr>
          <w:sz w:val="28"/>
          <w:szCs w:val="28"/>
        </w:rPr>
        <w:t>You can quibble with the results—the surveys might have had some systemic bias—but the underlying idea rings true: there was a lot of crowding out.</w:t>
      </w:r>
    </w:p>
    <w:p w:rsidR="005640CC" w:rsidRPr="005640CC" w:rsidRDefault="005640CC" w:rsidP="005640CC">
      <w:pPr>
        <w:numPr>
          <w:ilvl w:val="2"/>
          <w:numId w:val="4"/>
        </w:numPr>
        <w:jc w:val="both"/>
        <w:rPr>
          <w:sz w:val="28"/>
          <w:szCs w:val="28"/>
        </w:rPr>
      </w:pPr>
      <w:r>
        <w:rPr>
          <w:sz w:val="28"/>
          <w:szCs w:val="28"/>
        </w:rPr>
        <w:t xml:space="preserve">Interestingly, this is a different form of crowding out. It’s not a matter of government borrowing crowding out private-sector borrowing (demand-side crowding out). Here, it’s the government hiring people who would otherwise be hired by the private sector (supply-side crowding out). But the basic idea is the same. </w:t>
      </w:r>
    </w:p>
    <w:sectPr w:rsidR="005640CC" w:rsidRPr="005640CC" w:rsidSect="0083137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33AB" w:rsidRDefault="006B33AB" w:rsidP="008D0ADA">
      <w:r>
        <w:separator/>
      </w:r>
    </w:p>
  </w:endnote>
  <w:endnote w:type="continuationSeparator" w:id="0">
    <w:p w:rsidR="006B33AB" w:rsidRDefault="006B33AB" w:rsidP="008D0A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33AB" w:rsidRDefault="006B33AB" w:rsidP="008D0ADA">
      <w:r>
        <w:separator/>
      </w:r>
    </w:p>
  </w:footnote>
  <w:footnote w:type="continuationSeparator" w:id="0">
    <w:p w:rsidR="006B33AB" w:rsidRDefault="006B33AB" w:rsidP="008D0ADA">
      <w:r>
        <w:continuationSeparator/>
      </w:r>
    </w:p>
  </w:footnote>
  <w:footnote w:id="1">
    <w:p w:rsidR="00AD30ED" w:rsidRDefault="00AD30ED">
      <w:pPr>
        <w:pStyle w:val="FootnoteText"/>
      </w:pPr>
      <w:r>
        <w:rPr>
          <w:rStyle w:val="FootnoteReference"/>
        </w:rPr>
        <w:footnoteRef/>
      </w:r>
      <w:r>
        <w:t xml:space="preserve"> </w:t>
      </w:r>
      <w:hyperlink r:id="rId1" w:history="1">
        <w:r w:rsidRPr="00564E19">
          <w:rPr>
            <w:rStyle w:val="Hyperlink"/>
          </w:rPr>
          <w:t>http://www.irs.gov/pub/irs-drop/rp-13-15.pdf</w:t>
        </w:r>
      </w:hyperlink>
      <w:r>
        <w:t xml:space="preserve"> </w:t>
      </w:r>
    </w:p>
  </w:footnote>
  <w:footnote w:id="2">
    <w:p w:rsidR="005640CC" w:rsidRDefault="005640CC" w:rsidP="005640CC">
      <w:pPr>
        <w:pStyle w:val="FootnoteText"/>
      </w:pPr>
      <w:r>
        <w:rPr>
          <w:rStyle w:val="FootnoteReference"/>
        </w:rPr>
        <w:footnoteRef/>
      </w:r>
      <w:r>
        <w:t xml:space="preserve"> </w:t>
      </w:r>
      <w:hyperlink r:id="rId2" w:history="1">
        <w:r w:rsidRPr="00564E19">
          <w:rPr>
            <w:rStyle w:val="Hyperlink"/>
          </w:rPr>
          <w:t>http://www.wnyc.org/story/286037-shovel-ready-projects-obama-admits-theres-no-such-thing/</w:t>
        </w:r>
      </w:hyperlink>
      <w:r>
        <w:t xml:space="preserve"> </w:t>
      </w:r>
    </w:p>
  </w:footnote>
  <w:footnote w:id="3">
    <w:p w:rsidR="005640CC" w:rsidRDefault="005640CC" w:rsidP="005640CC">
      <w:pPr>
        <w:pStyle w:val="FootnoteText"/>
      </w:pPr>
      <w:r>
        <w:rPr>
          <w:rStyle w:val="FootnoteReference"/>
        </w:rPr>
        <w:footnoteRef/>
      </w:r>
      <w:r>
        <w:t xml:space="preserve"> </w:t>
      </w:r>
      <w:hyperlink r:id="rId3" w:history="1">
        <w:r w:rsidRPr="00917034">
          <w:rPr>
            <w:rStyle w:val="Hyperlink"/>
          </w:rPr>
          <w:t>http://mercatus.org/publication/did-stimulus-dollars-hire-unemployed</w:t>
        </w:r>
      </w:hyperlink>
      <w:r>
        <w:t xml:space="preserve"> </w:t>
      </w:r>
    </w:p>
  </w:footnote>
  <w:footnote w:id="4">
    <w:p w:rsidR="005640CC" w:rsidRDefault="005640CC" w:rsidP="005640CC">
      <w:pPr>
        <w:pStyle w:val="FootnoteText"/>
      </w:pPr>
      <w:r>
        <w:rPr>
          <w:rStyle w:val="FootnoteReference"/>
        </w:rPr>
        <w:footnoteRef/>
      </w:r>
      <w:r>
        <w:t xml:space="preserve"> For more information about the study, see </w:t>
      </w:r>
      <w:hyperlink r:id="rId4" w:history="1">
        <w:r w:rsidRPr="00564E19">
          <w:rPr>
            <w:rStyle w:val="Hyperlink"/>
          </w:rPr>
          <w:t>http://www.econtalk.org/archives/2011/09/garett_jones_on_1.html</w:t>
        </w:r>
      </w:hyperlink>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13787C"/>
    <w:multiLevelType w:val="hybridMultilevel"/>
    <w:tmpl w:val="4A2E43E4"/>
    <w:lvl w:ilvl="0" w:tplc="4B8244F0">
      <w:start w:val="1"/>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F72C02AA">
      <w:start w:val="1"/>
      <w:numFmt w:val="lowerRoman"/>
      <w:lvlText w:val="%3."/>
      <w:lvlJc w:val="right"/>
      <w:pPr>
        <w:tabs>
          <w:tab w:val="num" w:pos="2160"/>
        </w:tabs>
        <w:ind w:left="2160" w:hanging="180"/>
      </w:pPr>
      <w:rPr>
        <w:rFonts w:cs="Times New Roman"/>
        <w:i w:val="0"/>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4EFA1C71"/>
    <w:multiLevelType w:val="hybridMultilevel"/>
    <w:tmpl w:val="0E0C1D44"/>
    <w:lvl w:ilvl="0" w:tplc="D27A2D8E">
      <w:start w:val="1"/>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593873A8"/>
    <w:multiLevelType w:val="hybridMultilevel"/>
    <w:tmpl w:val="DF20893C"/>
    <w:lvl w:ilvl="0" w:tplc="0350719C">
      <w:start w:val="1"/>
      <w:numFmt w:val="upperRoman"/>
      <w:lvlText w:val="%1."/>
      <w:lvlJc w:val="left"/>
      <w:pPr>
        <w:tabs>
          <w:tab w:val="num" w:pos="1080"/>
        </w:tabs>
        <w:ind w:left="1080" w:hanging="720"/>
      </w:pPr>
      <w:rPr>
        <w:rFonts w:cs="Times New Roman" w:hint="default"/>
        <w:i w:val="0"/>
      </w:rPr>
    </w:lvl>
    <w:lvl w:ilvl="1" w:tplc="3F1EE8B8">
      <w:start w:val="1"/>
      <w:numFmt w:val="lowerLetter"/>
      <w:lvlText w:val="%2."/>
      <w:lvlJc w:val="left"/>
      <w:pPr>
        <w:tabs>
          <w:tab w:val="num" w:pos="1440"/>
        </w:tabs>
        <w:ind w:left="1440" w:hanging="360"/>
      </w:pPr>
      <w:rPr>
        <w:rFonts w:cs="Times New Roman"/>
        <w:i w:val="0"/>
      </w:rPr>
    </w:lvl>
    <w:lvl w:ilvl="2" w:tplc="8934332A">
      <w:start w:val="1"/>
      <w:numFmt w:val="lowerRoman"/>
      <w:lvlText w:val="%3."/>
      <w:lvlJc w:val="right"/>
      <w:pPr>
        <w:tabs>
          <w:tab w:val="num" w:pos="2160"/>
        </w:tabs>
        <w:ind w:left="2160" w:hanging="180"/>
      </w:pPr>
      <w:rPr>
        <w:rFonts w:cs="Times New Roman"/>
        <w:i w:val="0"/>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66D96DF7"/>
    <w:multiLevelType w:val="hybridMultilevel"/>
    <w:tmpl w:val="603EB0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20"/>
  <w:drawingGridHorizontalSpacing w:val="187"/>
  <w:drawingGridVerticalSpacing w:val="187"/>
  <w:characterSpacingControl w:val="doNotCompress"/>
  <w:footnotePr>
    <w:footnote w:id="-1"/>
    <w:footnote w:id="0"/>
  </w:footnotePr>
  <w:endnotePr>
    <w:endnote w:id="-1"/>
    <w:endnote w:id="0"/>
  </w:endnotePr>
  <w:compat/>
  <w:rsids>
    <w:rsidRoot w:val="00556826"/>
    <w:rsid w:val="000030C2"/>
    <w:rsid w:val="00005E9A"/>
    <w:rsid w:val="000071D4"/>
    <w:rsid w:val="00013FBF"/>
    <w:rsid w:val="00015A8F"/>
    <w:rsid w:val="000171A2"/>
    <w:rsid w:val="00021DE7"/>
    <w:rsid w:val="000223E7"/>
    <w:rsid w:val="00022F71"/>
    <w:rsid w:val="0002347C"/>
    <w:rsid w:val="00025960"/>
    <w:rsid w:val="000266D3"/>
    <w:rsid w:val="00044949"/>
    <w:rsid w:val="000474FD"/>
    <w:rsid w:val="000546F9"/>
    <w:rsid w:val="00054A7F"/>
    <w:rsid w:val="00071FF8"/>
    <w:rsid w:val="00080E5E"/>
    <w:rsid w:val="000814C8"/>
    <w:rsid w:val="00085064"/>
    <w:rsid w:val="0008730A"/>
    <w:rsid w:val="00092F13"/>
    <w:rsid w:val="000949B0"/>
    <w:rsid w:val="000B5B5E"/>
    <w:rsid w:val="000C41DA"/>
    <w:rsid w:val="000E1606"/>
    <w:rsid w:val="000F23E2"/>
    <w:rsid w:val="000F4D83"/>
    <w:rsid w:val="000F5D17"/>
    <w:rsid w:val="00101E32"/>
    <w:rsid w:val="001047B1"/>
    <w:rsid w:val="0010697E"/>
    <w:rsid w:val="00107236"/>
    <w:rsid w:val="0011105C"/>
    <w:rsid w:val="0011138D"/>
    <w:rsid w:val="00126389"/>
    <w:rsid w:val="00131B9A"/>
    <w:rsid w:val="00143E8E"/>
    <w:rsid w:val="001442E1"/>
    <w:rsid w:val="00183635"/>
    <w:rsid w:val="001856CF"/>
    <w:rsid w:val="001876AA"/>
    <w:rsid w:val="00191C8D"/>
    <w:rsid w:val="001A1635"/>
    <w:rsid w:val="001A6F2B"/>
    <w:rsid w:val="001B24F5"/>
    <w:rsid w:val="001B7AD5"/>
    <w:rsid w:val="001E686C"/>
    <w:rsid w:val="002124DD"/>
    <w:rsid w:val="00214B9B"/>
    <w:rsid w:val="0021548C"/>
    <w:rsid w:val="00220C27"/>
    <w:rsid w:val="00221C16"/>
    <w:rsid w:val="002227C2"/>
    <w:rsid w:val="00230AD3"/>
    <w:rsid w:val="0023223C"/>
    <w:rsid w:val="0024395A"/>
    <w:rsid w:val="002475C1"/>
    <w:rsid w:val="00262670"/>
    <w:rsid w:val="00271092"/>
    <w:rsid w:val="0027341C"/>
    <w:rsid w:val="00274894"/>
    <w:rsid w:val="0027729B"/>
    <w:rsid w:val="00284FB0"/>
    <w:rsid w:val="00287E58"/>
    <w:rsid w:val="00291FE1"/>
    <w:rsid w:val="0029497B"/>
    <w:rsid w:val="002A13D6"/>
    <w:rsid w:val="002A1457"/>
    <w:rsid w:val="002C0AEA"/>
    <w:rsid w:val="002C394F"/>
    <w:rsid w:val="002C433F"/>
    <w:rsid w:val="002F4714"/>
    <w:rsid w:val="002F6904"/>
    <w:rsid w:val="0030575F"/>
    <w:rsid w:val="00312B1A"/>
    <w:rsid w:val="00321845"/>
    <w:rsid w:val="003225D1"/>
    <w:rsid w:val="00322F14"/>
    <w:rsid w:val="0032558A"/>
    <w:rsid w:val="00327BAD"/>
    <w:rsid w:val="003324EC"/>
    <w:rsid w:val="00343B5F"/>
    <w:rsid w:val="0034684A"/>
    <w:rsid w:val="0034727F"/>
    <w:rsid w:val="00351FB1"/>
    <w:rsid w:val="00356CC1"/>
    <w:rsid w:val="00362276"/>
    <w:rsid w:val="00365D10"/>
    <w:rsid w:val="00374271"/>
    <w:rsid w:val="00375313"/>
    <w:rsid w:val="00381120"/>
    <w:rsid w:val="003824EC"/>
    <w:rsid w:val="00392697"/>
    <w:rsid w:val="003933FE"/>
    <w:rsid w:val="003A0014"/>
    <w:rsid w:val="003A07AF"/>
    <w:rsid w:val="003A20A3"/>
    <w:rsid w:val="003A24E0"/>
    <w:rsid w:val="003A2701"/>
    <w:rsid w:val="003A2FEA"/>
    <w:rsid w:val="003C6564"/>
    <w:rsid w:val="003D4C85"/>
    <w:rsid w:val="003D5264"/>
    <w:rsid w:val="003F1F09"/>
    <w:rsid w:val="003F3490"/>
    <w:rsid w:val="00401F8B"/>
    <w:rsid w:val="00406C34"/>
    <w:rsid w:val="00410616"/>
    <w:rsid w:val="00416EE3"/>
    <w:rsid w:val="00420612"/>
    <w:rsid w:val="00420986"/>
    <w:rsid w:val="00423FFC"/>
    <w:rsid w:val="004343BD"/>
    <w:rsid w:val="00434E54"/>
    <w:rsid w:val="004412CC"/>
    <w:rsid w:val="0044253E"/>
    <w:rsid w:val="00450958"/>
    <w:rsid w:val="00451313"/>
    <w:rsid w:val="004514B8"/>
    <w:rsid w:val="004533B3"/>
    <w:rsid w:val="0048489C"/>
    <w:rsid w:val="00490F3C"/>
    <w:rsid w:val="004953C1"/>
    <w:rsid w:val="004A317D"/>
    <w:rsid w:val="004A4E1B"/>
    <w:rsid w:val="004A5425"/>
    <w:rsid w:val="004A6878"/>
    <w:rsid w:val="004A703E"/>
    <w:rsid w:val="004B7276"/>
    <w:rsid w:val="004D23CA"/>
    <w:rsid w:val="004D465F"/>
    <w:rsid w:val="004E1265"/>
    <w:rsid w:val="004E4946"/>
    <w:rsid w:val="004E4C74"/>
    <w:rsid w:val="00501750"/>
    <w:rsid w:val="00515906"/>
    <w:rsid w:val="00520F22"/>
    <w:rsid w:val="005270F8"/>
    <w:rsid w:val="00527EBA"/>
    <w:rsid w:val="00532971"/>
    <w:rsid w:val="005359CE"/>
    <w:rsid w:val="00543103"/>
    <w:rsid w:val="005444F5"/>
    <w:rsid w:val="005511CC"/>
    <w:rsid w:val="00555FF0"/>
    <w:rsid w:val="00556826"/>
    <w:rsid w:val="005573A7"/>
    <w:rsid w:val="00562220"/>
    <w:rsid w:val="005640CC"/>
    <w:rsid w:val="00564AF0"/>
    <w:rsid w:val="00564E3C"/>
    <w:rsid w:val="005657DB"/>
    <w:rsid w:val="00596CBF"/>
    <w:rsid w:val="005A544E"/>
    <w:rsid w:val="005B1053"/>
    <w:rsid w:val="005C55C2"/>
    <w:rsid w:val="005C65F9"/>
    <w:rsid w:val="005D5880"/>
    <w:rsid w:val="005E514F"/>
    <w:rsid w:val="005E6F5E"/>
    <w:rsid w:val="005F0166"/>
    <w:rsid w:val="005F1832"/>
    <w:rsid w:val="005F2069"/>
    <w:rsid w:val="005F3389"/>
    <w:rsid w:val="005F3628"/>
    <w:rsid w:val="00607470"/>
    <w:rsid w:val="00610167"/>
    <w:rsid w:val="0061283A"/>
    <w:rsid w:val="00635CAE"/>
    <w:rsid w:val="00645158"/>
    <w:rsid w:val="00647705"/>
    <w:rsid w:val="00651BE5"/>
    <w:rsid w:val="00660AA4"/>
    <w:rsid w:val="00661387"/>
    <w:rsid w:val="00663D91"/>
    <w:rsid w:val="00672C36"/>
    <w:rsid w:val="00680AA0"/>
    <w:rsid w:val="00683CE2"/>
    <w:rsid w:val="006861A9"/>
    <w:rsid w:val="0069202F"/>
    <w:rsid w:val="006953BF"/>
    <w:rsid w:val="0069583E"/>
    <w:rsid w:val="0069732F"/>
    <w:rsid w:val="00697419"/>
    <w:rsid w:val="006A0B2F"/>
    <w:rsid w:val="006B06BA"/>
    <w:rsid w:val="006B22F0"/>
    <w:rsid w:val="006B33AB"/>
    <w:rsid w:val="006B3BE8"/>
    <w:rsid w:val="006C45B6"/>
    <w:rsid w:val="006D1BBE"/>
    <w:rsid w:val="006D2A32"/>
    <w:rsid w:val="006D2F6F"/>
    <w:rsid w:val="006E5826"/>
    <w:rsid w:val="006F09A0"/>
    <w:rsid w:val="006F7831"/>
    <w:rsid w:val="00701CE2"/>
    <w:rsid w:val="007065EA"/>
    <w:rsid w:val="00710B55"/>
    <w:rsid w:val="00713684"/>
    <w:rsid w:val="00727A7D"/>
    <w:rsid w:val="00727FD4"/>
    <w:rsid w:val="007313D8"/>
    <w:rsid w:val="00731993"/>
    <w:rsid w:val="00745F30"/>
    <w:rsid w:val="0074601E"/>
    <w:rsid w:val="007528CB"/>
    <w:rsid w:val="007541A4"/>
    <w:rsid w:val="007616C1"/>
    <w:rsid w:val="00764E70"/>
    <w:rsid w:val="007656A5"/>
    <w:rsid w:val="00772BF8"/>
    <w:rsid w:val="0077502A"/>
    <w:rsid w:val="00776D0A"/>
    <w:rsid w:val="007912D9"/>
    <w:rsid w:val="00793DD5"/>
    <w:rsid w:val="007A024A"/>
    <w:rsid w:val="007D2E94"/>
    <w:rsid w:val="007D39C6"/>
    <w:rsid w:val="007D5964"/>
    <w:rsid w:val="007D60E0"/>
    <w:rsid w:val="00811FCA"/>
    <w:rsid w:val="00815471"/>
    <w:rsid w:val="00820B43"/>
    <w:rsid w:val="00821AA3"/>
    <w:rsid w:val="0082225C"/>
    <w:rsid w:val="0083137F"/>
    <w:rsid w:val="00833B27"/>
    <w:rsid w:val="0083746B"/>
    <w:rsid w:val="00864039"/>
    <w:rsid w:val="00867345"/>
    <w:rsid w:val="008673CF"/>
    <w:rsid w:val="00881138"/>
    <w:rsid w:val="00883114"/>
    <w:rsid w:val="00883394"/>
    <w:rsid w:val="0089189C"/>
    <w:rsid w:val="0089359A"/>
    <w:rsid w:val="008A282F"/>
    <w:rsid w:val="008A285B"/>
    <w:rsid w:val="008A38B5"/>
    <w:rsid w:val="008A3F4F"/>
    <w:rsid w:val="008A5906"/>
    <w:rsid w:val="008C6106"/>
    <w:rsid w:val="008D0ADA"/>
    <w:rsid w:val="008D2DB0"/>
    <w:rsid w:val="008F20E0"/>
    <w:rsid w:val="008F344F"/>
    <w:rsid w:val="008F5B7A"/>
    <w:rsid w:val="008F6F29"/>
    <w:rsid w:val="00905C44"/>
    <w:rsid w:val="00914A59"/>
    <w:rsid w:val="00931F21"/>
    <w:rsid w:val="009364EE"/>
    <w:rsid w:val="00955DC6"/>
    <w:rsid w:val="00956935"/>
    <w:rsid w:val="009617DE"/>
    <w:rsid w:val="00964CD4"/>
    <w:rsid w:val="00973A83"/>
    <w:rsid w:val="009744A0"/>
    <w:rsid w:val="0097653A"/>
    <w:rsid w:val="00981CCE"/>
    <w:rsid w:val="009A1D5C"/>
    <w:rsid w:val="009A5E52"/>
    <w:rsid w:val="009B10A7"/>
    <w:rsid w:val="009B1AA6"/>
    <w:rsid w:val="009C2703"/>
    <w:rsid w:val="009C4A65"/>
    <w:rsid w:val="009C718C"/>
    <w:rsid w:val="009D585C"/>
    <w:rsid w:val="009D7FBB"/>
    <w:rsid w:val="009E2D37"/>
    <w:rsid w:val="009E360F"/>
    <w:rsid w:val="009E3FE5"/>
    <w:rsid w:val="009F61AE"/>
    <w:rsid w:val="00A00465"/>
    <w:rsid w:val="00A13CEC"/>
    <w:rsid w:val="00A271BE"/>
    <w:rsid w:val="00A37086"/>
    <w:rsid w:val="00A43F5D"/>
    <w:rsid w:val="00A50882"/>
    <w:rsid w:val="00A66BAC"/>
    <w:rsid w:val="00A75A43"/>
    <w:rsid w:val="00A774DE"/>
    <w:rsid w:val="00A91B4E"/>
    <w:rsid w:val="00A91E7C"/>
    <w:rsid w:val="00A91F25"/>
    <w:rsid w:val="00A9444C"/>
    <w:rsid w:val="00AA7EEF"/>
    <w:rsid w:val="00AB0468"/>
    <w:rsid w:val="00AB33EB"/>
    <w:rsid w:val="00AC25DB"/>
    <w:rsid w:val="00AC3BA5"/>
    <w:rsid w:val="00AC41E7"/>
    <w:rsid w:val="00AD30ED"/>
    <w:rsid w:val="00AD79EF"/>
    <w:rsid w:val="00AF398A"/>
    <w:rsid w:val="00AF4AE4"/>
    <w:rsid w:val="00AF6C10"/>
    <w:rsid w:val="00B230E3"/>
    <w:rsid w:val="00B44A21"/>
    <w:rsid w:val="00B51CE3"/>
    <w:rsid w:val="00B61CF9"/>
    <w:rsid w:val="00B64976"/>
    <w:rsid w:val="00B667A3"/>
    <w:rsid w:val="00B875FB"/>
    <w:rsid w:val="00BA5C79"/>
    <w:rsid w:val="00BB2075"/>
    <w:rsid w:val="00BC51FD"/>
    <w:rsid w:val="00BC625A"/>
    <w:rsid w:val="00BD075E"/>
    <w:rsid w:val="00BD302A"/>
    <w:rsid w:val="00BD5C02"/>
    <w:rsid w:val="00BD7431"/>
    <w:rsid w:val="00BF0741"/>
    <w:rsid w:val="00BF59E5"/>
    <w:rsid w:val="00C07E4E"/>
    <w:rsid w:val="00C155D2"/>
    <w:rsid w:val="00C2289A"/>
    <w:rsid w:val="00C30862"/>
    <w:rsid w:val="00C342EB"/>
    <w:rsid w:val="00C4412C"/>
    <w:rsid w:val="00C44598"/>
    <w:rsid w:val="00C45B24"/>
    <w:rsid w:val="00C477A3"/>
    <w:rsid w:val="00C5306A"/>
    <w:rsid w:val="00C71107"/>
    <w:rsid w:val="00C81A27"/>
    <w:rsid w:val="00C866B4"/>
    <w:rsid w:val="00C913C5"/>
    <w:rsid w:val="00CA7480"/>
    <w:rsid w:val="00CC326E"/>
    <w:rsid w:val="00CD2CA3"/>
    <w:rsid w:val="00CD746D"/>
    <w:rsid w:val="00CF2EC5"/>
    <w:rsid w:val="00CF5BD3"/>
    <w:rsid w:val="00CF6CF4"/>
    <w:rsid w:val="00CF73AC"/>
    <w:rsid w:val="00CF7464"/>
    <w:rsid w:val="00D02F88"/>
    <w:rsid w:val="00D128CE"/>
    <w:rsid w:val="00D215CD"/>
    <w:rsid w:val="00D22AE9"/>
    <w:rsid w:val="00D31342"/>
    <w:rsid w:val="00D32C2F"/>
    <w:rsid w:val="00D5244F"/>
    <w:rsid w:val="00D61C2E"/>
    <w:rsid w:val="00D6443A"/>
    <w:rsid w:val="00D72CDA"/>
    <w:rsid w:val="00D746FC"/>
    <w:rsid w:val="00D75D79"/>
    <w:rsid w:val="00D8003A"/>
    <w:rsid w:val="00D8138E"/>
    <w:rsid w:val="00D941A7"/>
    <w:rsid w:val="00DA2B09"/>
    <w:rsid w:val="00DA5809"/>
    <w:rsid w:val="00DB36FD"/>
    <w:rsid w:val="00DB6DA6"/>
    <w:rsid w:val="00DC2053"/>
    <w:rsid w:val="00DC2712"/>
    <w:rsid w:val="00DC4221"/>
    <w:rsid w:val="00DC5C35"/>
    <w:rsid w:val="00DD1D04"/>
    <w:rsid w:val="00DD5129"/>
    <w:rsid w:val="00DD7664"/>
    <w:rsid w:val="00DE7CED"/>
    <w:rsid w:val="00DF07BF"/>
    <w:rsid w:val="00E003F5"/>
    <w:rsid w:val="00E010EF"/>
    <w:rsid w:val="00E05485"/>
    <w:rsid w:val="00E1018E"/>
    <w:rsid w:val="00E14E1B"/>
    <w:rsid w:val="00E26695"/>
    <w:rsid w:val="00E4081E"/>
    <w:rsid w:val="00E436FB"/>
    <w:rsid w:val="00E55A25"/>
    <w:rsid w:val="00E70C2A"/>
    <w:rsid w:val="00E70F92"/>
    <w:rsid w:val="00E737F3"/>
    <w:rsid w:val="00E82D66"/>
    <w:rsid w:val="00E82E67"/>
    <w:rsid w:val="00E83761"/>
    <w:rsid w:val="00E845F2"/>
    <w:rsid w:val="00E87F3D"/>
    <w:rsid w:val="00EA605A"/>
    <w:rsid w:val="00EB4587"/>
    <w:rsid w:val="00ED1EFD"/>
    <w:rsid w:val="00ED2DB2"/>
    <w:rsid w:val="00EE0AE2"/>
    <w:rsid w:val="00EF017C"/>
    <w:rsid w:val="00EF7BBB"/>
    <w:rsid w:val="00F02C9D"/>
    <w:rsid w:val="00F06E9A"/>
    <w:rsid w:val="00F10CDD"/>
    <w:rsid w:val="00F12224"/>
    <w:rsid w:val="00F1609A"/>
    <w:rsid w:val="00F2100D"/>
    <w:rsid w:val="00F24711"/>
    <w:rsid w:val="00F2775A"/>
    <w:rsid w:val="00F35F8D"/>
    <w:rsid w:val="00F36A78"/>
    <w:rsid w:val="00F47E3B"/>
    <w:rsid w:val="00F62034"/>
    <w:rsid w:val="00F72CA0"/>
    <w:rsid w:val="00F72EBD"/>
    <w:rsid w:val="00F9103D"/>
    <w:rsid w:val="00F97FEE"/>
    <w:rsid w:val="00FB1D87"/>
    <w:rsid w:val="00FB1E9F"/>
    <w:rsid w:val="00FB3663"/>
    <w:rsid w:val="00FB55A3"/>
    <w:rsid w:val="00FC0097"/>
    <w:rsid w:val="00FC735A"/>
    <w:rsid w:val="00FC7650"/>
    <w:rsid w:val="00FF0D7F"/>
    <w:rsid w:val="00FF1AA7"/>
    <w:rsid w:val="00FF5C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96"/>
    <o:shapelayout v:ext="edit">
      <o:idmap v:ext="edit" data="1"/>
      <o:rules v:ext="edit">
        <o:r id="V:Rule10" type="arc" idref="#_x0000_s1174"/>
        <o:r id="V:Rule13" type="arc" idref="#_x0000_s1205"/>
        <o:r id="V:Rule24" type="arc" idref="#_x0000_s1224"/>
        <o:r id="V:Rule27" type="arc" idref="#_x0000_s1230"/>
        <o:r id="V:Rule30" type="connector" idref="#_x0000_s1140"/>
        <o:r id="V:Rule31" type="connector" idref="#_x0000_s1137"/>
        <o:r id="V:Rule32" type="connector" idref="#_x0000_s1228"/>
        <o:r id="V:Rule33" type="connector" idref="#_x0000_s1129"/>
        <o:r id="V:Rule34" type="connector" idref="#_x0000_s1199"/>
        <o:r id="V:Rule35" type="connector" idref="#_x0000_s1138"/>
        <o:r id="V:Rule36" type="connector" idref="#_x0000_s1221"/>
        <o:r id="V:Rule37" type="connector" idref="#_x0000_s1133"/>
        <o:r id="V:Rule38" type="connector" idref="#_x0000_s1227"/>
        <o:r id="V:Rule39" type="connector" idref="#_x0000_s1132"/>
        <o:r id="V:Rule40" type="connector" idref="#_x0000_s1231"/>
        <o:r id="V:Rule41" type="connector" idref="#_x0000_s1215"/>
        <o:r id="V:Rule42" type="connector" idref="#_x0000_s1139"/>
        <o:r id="V:Rule43" type="connector" idref="#_x0000_s1214"/>
        <o:r id="V:Rule44" type="connector" idref="#_x0000_s1136"/>
        <o:r id="V:Rule45" type="connector" idref="#_x0000_s1222"/>
        <o:r id="V:Rule46" type="connector" idref="#_x0000_s1244"/>
        <o:r id="V:Rule47" type="connector" idref="#_x0000_s1243"/>
        <o:r id="V:Rule48" type="connector" idref="#_x0000_s1130"/>
        <o:r id="V:Rule49" type="connector" idref="#_x0000_s1212"/>
        <o:r id="V:Rule50" type="connector" idref="#_x0000_s1211"/>
        <o:r id="V:Rule51" type="connector" idref="#_x0000_s1219"/>
        <o:r id="V:Rule52" type="connector" idref="#_x0000_s1220"/>
        <o:r id="V:Rule53" type="connector" idref="#_x0000_s1200"/>
        <o:r id="V:Rule54" type="connector" idref="#_x0000_s1218"/>
        <o:r id="V:Rule55" type="arc" idref="#_x0000_s1288"/>
        <o:r id="V:Rule56" type="arc" idref="#_x0000_s1293"/>
        <o:r id="V:Rule57" type="arc" idref="#_x0000_s1262"/>
        <o:r id="V:Rule58" type="arc" idref="#_x0000_s1266"/>
        <o:r id="V:Rule59" type="connector" idref="#_x0000_s1265"/>
        <o:r id="V:Rule60" type="connector" idref="#_x0000_s1258"/>
        <o:r id="V:Rule61" type="connector" idref="#_x0000_s1278"/>
        <o:r id="V:Rule62" type="connector" idref="#_x0000_s1280"/>
        <o:r id="V:Rule63" type="connector" idref="#_x0000_s1277"/>
        <o:r id="V:Rule64" type="connector" idref="#_x0000_s1284"/>
        <o:r id="V:Rule65" type="connector" idref="#_x0000_s1253"/>
        <o:r id="V:Rule66" type="connector" idref="#_x0000_s1285"/>
        <o:r id="V:Rule67" type="connector" idref="#_x0000_s1272"/>
        <o:r id="V:Rule68" type="connector" idref="#_x0000_s1271"/>
        <o:r id="V:Rule69" type="connector" idref="#_x0000_s1269"/>
        <o:r id="V:Rule70" type="connector" idref="#_x0000_s1292"/>
        <o:r id="V:Rule71" type="connector" idref="#_x0000_s1259"/>
        <o:r id="V:Rule72" type="connector" idref="#_x0000_s1254"/>
        <o:r id="V:Rule73" type="connector" idref="#_x0000_s1274"/>
        <o:r id="V:Rule74" type="connector" idref="#_x0000_s1260">
          <o:proxy end="" idref="#_x0000_s1255" connectloc="0"/>
        </o:r>
        <o:r id="V:Rule75" type="connector" idref="#_x0000_s1273"/>
        <o:r id="V:Rule76" type="connector" idref="#_x0000_s1291"/>
        <o:r id="V:Rule77" type="connector" idref="#_x0000_s1286">
          <o:proxy end="" idref="#_x0000_s1279" connectloc="0"/>
        </o:r>
        <o:r id="V:Rule78" type="connector" idref="#_x0000_s1256"/>
        <o:r id="V:Rule79" type="connector" idref="#_x0000_s1282"/>
        <o:r id="V:Rule80" type="connector" idref="#_x0000_s128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682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3D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D5244F"/>
    <w:rPr>
      <w:rFonts w:ascii="Tahoma" w:hAnsi="Tahoma" w:cs="Tahoma"/>
      <w:sz w:val="16"/>
      <w:szCs w:val="16"/>
    </w:rPr>
  </w:style>
  <w:style w:type="character" w:customStyle="1" w:styleId="BalloonTextChar">
    <w:name w:val="Balloon Text Char"/>
    <w:basedOn w:val="DefaultParagraphFont"/>
    <w:link w:val="BalloonText"/>
    <w:uiPriority w:val="99"/>
    <w:locked/>
    <w:rsid w:val="00D5244F"/>
    <w:rPr>
      <w:rFonts w:ascii="Tahoma" w:hAnsi="Tahoma" w:cs="Tahoma"/>
      <w:sz w:val="16"/>
      <w:szCs w:val="16"/>
    </w:rPr>
  </w:style>
  <w:style w:type="character" w:styleId="PlaceholderText">
    <w:name w:val="Placeholder Text"/>
    <w:basedOn w:val="DefaultParagraphFont"/>
    <w:uiPriority w:val="99"/>
    <w:semiHidden/>
    <w:rsid w:val="00D5244F"/>
    <w:rPr>
      <w:rFonts w:cs="Times New Roman"/>
      <w:color w:val="808080"/>
    </w:rPr>
  </w:style>
  <w:style w:type="paragraph" w:styleId="ListParagraph">
    <w:name w:val="List Paragraph"/>
    <w:basedOn w:val="Normal"/>
    <w:uiPriority w:val="34"/>
    <w:qFormat/>
    <w:rsid w:val="00883114"/>
    <w:pPr>
      <w:ind w:left="720"/>
      <w:contextualSpacing/>
    </w:pPr>
  </w:style>
  <w:style w:type="paragraph" w:styleId="FootnoteText">
    <w:name w:val="footnote text"/>
    <w:basedOn w:val="Normal"/>
    <w:link w:val="FootnoteTextChar"/>
    <w:uiPriority w:val="99"/>
    <w:rsid w:val="008D0ADA"/>
    <w:rPr>
      <w:sz w:val="20"/>
      <w:szCs w:val="20"/>
    </w:rPr>
  </w:style>
  <w:style w:type="character" w:customStyle="1" w:styleId="FootnoteTextChar">
    <w:name w:val="Footnote Text Char"/>
    <w:basedOn w:val="DefaultParagraphFont"/>
    <w:link w:val="FootnoteText"/>
    <w:uiPriority w:val="99"/>
    <w:locked/>
    <w:rsid w:val="008D0ADA"/>
    <w:rPr>
      <w:rFonts w:cs="Times New Roman"/>
    </w:rPr>
  </w:style>
  <w:style w:type="character" w:styleId="FootnoteReference">
    <w:name w:val="footnote reference"/>
    <w:basedOn w:val="DefaultParagraphFont"/>
    <w:uiPriority w:val="99"/>
    <w:rsid w:val="008D0ADA"/>
    <w:rPr>
      <w:rFonts w:cs="Times New Roman"/>
      <w:vertAlign w:val="superscript"/>
    </w:rPr>
  </w:style>
  <w:style w:type="character" w:customStyle="1" w:styleId="apple-style-span">
    <w:name w:val="apple-style-span"/>
    <w:basedOn w:val="DefaultParagraphFont"/>
    <w:rsid w:val="0089189C"/>
    <w:rPr>
      <w:rFonts w:cs="Times New Roman"/>
    </w:rPr>
  </w:style>
  <w:style w:type="character" w:customStyle="1" w:styleId="apple-converted-space">
    <w:name w:val="apple-converted-space"/>
    <w:basedOn w:val="DefaultParagraphFont"/>
    <w:rsid w:val="0089189C"/>
    <w:rPr>
      <w:rFonts w:cs="Times New Roman"/>
    </w:rPr>
  </w:style>
  <w:style w:type="character" w:styleId="Hyperlink">
    <w:name w:val="Hyperlink"/>
    <w:basedOn w:val="DefaultParagraphFont"/>
    <w:uiPriority w:val="99"/>
    <w:unhideWhenUsed/>
    <w:rsid w:val="0089189C"/>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mercatus.org/publication/did-stimulus-dollars-hire-unemployed" TargetMode="External"/><Relationship Id="rId2" Type="http://schemas.openxmlformats.org/officeDocument/2006/relationships/hyperlink" Target="http://www.wnyc.org/story/286037-shovel-ready-projects-obama-admits-theres-no-such-thing/" TargetMode="External"/><Relationship Id="rId1" Type="http://schemas.openxmlformats.org/officeDocument/2006/relationships/hyperlink" Target="http://www.irs.gov/pub/irs-drop/rp-13-15.pdf" TargetMode="External"/><Relationship Id="rId4" Type="http://schemas.openxmlformats.org/officeDocument/2006/relationships/hyperlink" Target="http://www.econtalk.org/archives/2011/09/garett_jones_on_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2E8783-BE0B-4EE1-8076-08F6A6EBA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1461</TotalTime>
  <Pages>5</Pages>
  <Words>1347</Words>
  <Characters>6672</Characters>
  <Application>Microsoft Office Word</Application>
  <DocSecurity>0</DocSecurity>
  <Lines>158</Lines>
  <Paragraphs>90</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7929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39</cp:revision>
  <cp:lastPrinted>2011-09-11T03:11:00Z</cp:lastPrinted>
  <dcterms:created xsi:type="dcterms:W3CDTF">2012-06-15T18:19:00Z</dcterms:created>
  <dcterms:modified xsi:type="dcterms:W3CDTF">2015-08-11T16:51:00Z</dcterms:modified>
</cp:coreProperties>
</file>