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7A" w:rsidRDefault="008F5B7A" w:rsidP="00556826">
      <w:pPr>
        <w:jc w:val="both"/>
      </w:pPr>
      <w:r>
        <w:t>David Youngberg</w:t>
      </w:r>
    </w:p>
    <w:p w:rsidR="008F5B7A" w:rsidRDefault="00093B50" w:rsidP="00556826">
      <w:pPr>
        <w:jc w:val="both"/>
      </w:pPr>
      <w:r>
        <w:t>EC</w:t>
      </w:r>
      <w:r w:rsidR="009C09E3">
        <w:t xml:space="preserve">ON </w:t>
      </w:r>
      <w:r w:rsidR="0071550D">
        <w:t>201</w:t>
      </w:r>
      <w:r w:rsidR="00EA6193">
        <w:t>—Montgomery College</w:t>
      </w:r>
    </w:p>
    <w:p w:rsidR="00EA6193" w:rsidRDefault="00EA6193" w:rsidP="00556826">
      <w:pPr>
        <w:jc w:val="both"/>
      </w:pPr>
    </w:p>
    <w:p w:rsidR="008F5B7A" w:rsidRPr="00E26695" w:rsidRDefault="008F5B7A" w:rsidP="00BF0741">
      <w:pPr>
        <w:jc w:val="center"/>
        <w:rPr>
          <w:b/>
          <w:smallCaps/>
          <w:sz w:val="32"/>
          <w:szCs w:val="32"/>
        </w:rPr>
      </w:pPr>
      <w:r>
        <w:rPr>
          <w:b/>
          <w:smallCaps/>
          <w:sz w:val="32"/>
          <w:szCs w:val="32"/>
        </w:rPr>
        <w:t xml:space="preserve">Lecture </w:t>
      </w:r>
      <w:r w:rsidR="00652150">
        <w:rPr>
          <w:b/>
          <w:smallCaps/>
          <w:sz w:val="32"/>
          <w:szCs w:val="32"/>
        </w:rPr>
        <w:t>0</w:t>
      </w:r>
      <w:r w:rsidR="00603613">
        <w:rPr>
          <w:b/>
          <w:smallCaps/>
          <w:sz w:val="32"/>
          <w:szCs w:val="32"/>
        </w:rPr>
        <w:t>4</w:t>
      </w:r>
      <w:r>
        <w:rPr>
          <w:b/>
          <w:smallCaps/>
          <w:sz w:val="32"/>
          <w:szCs w:val="32"/>
        </w:rPr>
        <w:t xml:space="preserve">: </w:t>
      </w:r>
      <w:r w:rsidR="0071550D">
        <w:rPr>
          <w:b/>
          <w:smallCaps/>
          <w:sz w:val="32"/>
          <w:szCs w:val="32"/>
        </w:rPr>
        <w:t>Unemployment</w:t>
      </w:r>
    </w:p>
    <w:p w:rsidR="008F5B7A" w:rsidRDefault="008F5B7A" w:rsidP="00E26695">
      <w:pPr>
        <w:jc w:val="center"/>
      </w:pPr>
    </w:p>
    <w:p w:rsidR="00D74FBE" w:rsidRDefault="00D74FBE" w:rsidP="00D74FBE">
      <w:pPr>
        <w:numPr>
          <w:ilvl w:val="0"/>
          <w:numId w:val="4"/>
        </w:numPr>
        <w:jc w:val="both"/>
        <w:rPr>
          <w:sz w:val="28"/>
          <w:szCs w:val="28"/>
        </w:rPr>
      </w:pPr>
      <w:r>
        <w:rPr>
          <w:sz w:val="28"/>
          <w:szCs w:val="28"/>
        </w:rPr>
        <w:t>The Business Cycle</w:t>
      </w:r>
    </w:p>
    <w:p w:rsidR="00D74FBE" w:rsidRDefault="00D74FBE" w:rsidP="00D74FBE">
      <w:pPr>
        <w:numPr>
          <w:ilvl w:val="1"/>
          <w:numId w:val="4"/>
        </w:numPr>
        <w:jc w:val="both"/>
        <w:rPr>
          <w:sz w:val="28"/>
          <w:szCs w:val="28"/>
        </w:rPr>
      </w:pPr>
      <w:r w:rsidRPr="00293D28">
        <w:rPr>
          <w:i/>
          <w:sz w:val="28"/>
          <w:szCs w:val="28"/>
        </w:rPr>
        <w:t>Recession</w:t>
      </w:r>
      <w:r>
        <w:rPr>
          <w:sz w:val="28"/>
          <w:szCs w:val="28"/>
        </w:rPr>
        <w:t>—a significant, widespread decline in real income and employment</w:t>
      </w:r>
    </w:p>
    <w:p w:rsidR="00D74FBE" w:rsidRDefault="00D74FBE" w:rsidP="00D74FBE">
      <w:pPr>
        <w:numPr>
          <w:ilvl w:val="2"/>
          <w:numId w:val="4"/>
        </w:numPr>
        <w:jc w:val="both"/>
        <w:rPr>
          <w:sz w:val="28"/>
          <w:szCs w:val="28"/>
        </w:rPr>
      </w:pPr>
      <w:r>
        <w:rPr>
          <w:sz w:val="28"/>
          <w:szCs w:val="28"/>
        </w:rPr>
        <w:t>National Bureau of Economic Research (NBER) defines it as two consecutive quarters of a decline in GDP, along with other considerations (e.g. two quarters of slightly negative growth doesn’t count, unless other indicators suggest otherwise).</w:t>
      </w:r>
    </w:p>
    <w:p w:rsidR="00D74FBE" w:rsidRDefault="00D74FBE" w:rsidP="00D74FBE">
      <w:pPr>
        <w:numPr>
          <w:ilvl w:val="1"/>
          <w:numId w:val="4"/>
        </w:numPr>
        <w:jc w:val="both"/>
        <w:rPr>
          <w:sz w:val="28"/>
          <w:szCs w:val="28"/>
        </w:rPr>
      </w:pPr>
      <w:r>
        <w:rPr>
          <w:sz w:val="28"/>
          <w:szCs w:val="28"/>
        </w:rPr>
        <w:t>Whom the recession hits the most</w:t>
      </w:r>
    </w:p>
    <w:p w:rsidR="00D74FBE" w:rsidRDefault="00D74FBE" w:rsidP="00D74FBE">
      <w:pPr>
        <w:numPr>
          <w:ilvl w:val="2"/>
          <w:numId w:val="4"/>
        </w:numPr>
        <w:jc w:val="both"/>
        <w:rPr>
          <w:sz w:val="28"/>
          <w:szCs w:val="28"/>
        </w:rPr>
      </w:pPr>
      <w:r>
        <w:rPr>
          <w:sz w:val="28"/>
          <w:szCs w:val="28"/>
        </w:rPr>
        <w:t>When a recession hits, sales of toilet paper and alcohol don’t change that much (though the type of alcohol people buy does change). What should change the most?</w:t>
      </w:r>
    </w:p>
    <w:p w:rsidR="00D74FBE" w:rsidRDefault="00D74FBE" w:rsidP="00D74FBE">
      <w:pPr>
        <w:numPr>
          <w:ilvl w:val="2"/>
          <w:numId w:val="4"/>
        </w:numPr>
        <w:jc w:val="both"/>
        <w:rPr>
          <w:sz w:val="28"/>
          <w:szCs w:val="28"/>
        </w:rPr>
      </w:pPr>
      <w:r>
        <w:rPr>
          <w:sz w:val="28"/>
          <w:szCs w:val="28"/>
        </w:rPr>
        <w:t>Things that people can put off buying, whether because they can stretch what they currently have or because they can do without one at all for a bit longer. These tend to be consumer durables and capital goods</w:t>
      </w:r>
    </w:p>
    <w:p w:rsidR="00D74FBE" w:rsidRDefault="00D74FBE" w:rsidP="00D74FBE">
      <w:pPr>
        <w:numPr>
          <w:ilvl w:val="2"/>
          <w:numId w:val="4"/>
        </w:numPr>
        <w:jc w:val="both"/>
        <w:rPr>
          <w:sz w:val="28"/>
          <w:szCs w:val="28"/>
        </w:rPr>
      </w:pPr>
      <w:r>
        <w:rPr>
          <w:sz w:val="28"/>
          <w:szCs w:val="28"/>
        </w:rPr>
        <w:t>Thus, an increase in private investment and consumer durables is a good sign of an economic recovery.</w:t>
      </w:r>
    </w:p>
    <w:p w:rsidR="00D74FBE" w:rsidRDefault="00D74FBE" w:rsidP="00D74FBE">
      <w:pPr>
        <w:numPr>
          <w:ilvl w:val="1"/>
          <w:numId w:val="4"/>
        </w:numPr>
        <w:jc w:val="both"/>
        <w:rPr>
          <w:sz w:val="28"/>
          <w:szCs w:val="28"/>
        </w:rPr>
      </w:pPr>
      <w:r>
        <w:rPr>
          <w:sz w:val="28"/>
          <w:szCs w:val="28"/>
        </w:rPr>
        <w:t xml:space="preserve">The good news is the business cycle is a </w:t>
      </w:r>
      <w:r>
        <w:rPr>
          <w:i/>
          <w:sz w:val="28"/>
          <w:szCs w:val="28"/>
        </w:rPr>
        <w:t>cycle</w:t>
      </w:r>
      <w:r>
        <w:rPr>
          <w:sz w:val="28"/>
          <w:szCs w:val="28"/>
        </w:rPr>
        <w:t>. What goes down eventually comes up. It typically follows a four-phase pattern (the exact nature and names of each phase will vary between economists):</w:t>
      </w:r>
    </w:p>
    <w:p w:rsidR="00D74FBE" w:rsidRDefault="00D74FBE" w:rsidP="00D74FBE">
      <w:pPr>
        <w:numPr>
          <w:ilvl w:val="2"/>
          <w:numId w:val="4"/>
        </w:numPr>
        <w:jc w:val="both"/>
        <w:rPr>
          <w:sz w:val="28"/>
          <w:szCs w:val="28"/>
        </w:rPr>
      </w:pPr>
      <w:r>
        <w:rPr>
          <w:sz w:val="28"/>
          <w:szCs w:val="28"/>
        </w:rPr>
        <w:t>Peak—a point of strong growth and low unemployment</w:t>
      </w:r>
    </w:p>
    <w:p w:rsidR="00D74FBE" w:rsidRDefault="00D74FBE" w:rsidP="00D74FBE">
      <w:pPr>
        <w:numPr>
          <w:ilvl w:val="2"/>
          <w:numId w:val="4"/>
        </w:numPr>
        <w:jc w:val="both"/>
        <w:rPr>
          <w:sz w:val="28"/>
          <w:szCs w:val="28"/>
        </w:rPr>
      </w:pPr>
      <w:r>
        <w:rPr>
          <w:sz w:val="28"/>
          <w:szCs w:val="28"/>
        </w:rPr>
        <w:t>Recession—the period when people start losing their jobs and production falls</w:t>
      </w:r>
    </w:p>
    <w:p w:rsidR="00D74FBE" w:rsidRDefault="00D74FBE" w:rsidP="00D74FBE">
      <w:pPr>
        <w:numPr>
          <w:ilvl w:val="2"/>
          <w:numId w:val="4"/>
        </w:numPr>
        <w:jc w:val="both"/>
        <w:rPr>
          <w:sz w:val="28"/>
          <w:szCs w:val="28"/>
        </w:rPr>
      </w:pPr>
      <w:r>
        <w:rPr>
          <w:sz w:val="28"/>
          <w:szCs w:val="28"/>
        </w:rPr>
        <w:t>Trough—the low point; when the recession has bottomed out</w:t>
      </w:r>
    </w:p>
    <w:p w:rsidR="00D74FBE" w:rsidRDefault="00D74FBE" w:rsidP="00D74FBE">
      <w:pPr>
        <w:numPr>
          <w:ilvl w:val="2"/>
          <w:numId w:val="4"/>
        </w:numPr>
        <w:jc w:val="both"/>
        <w:rPr>
          <w:sz w:val="28"/>
          <w:szCs w:val="28"/>
        </w:rPr>
      </w:pPr>
      <w:r>
        <w:rPr>
          <w:sz w:val="28"/>
          <w:szCs w:val="28"/>
        </w:rPr>
        <w:t>Recovery—the often rapid return to high productivity and low unemployment</w:t>
      </w:r>
    </w:p>
    <w:p w:rsidR="00D74FBE" w:rsidRDefault="00D74FBE" w:rsidP="00D74FBE">
      <w:pPr>
        <w:numPr>
          <w:ilvl w:val="1"/>
          <w:numId w:val="4"/>
        </w:numPr>
        <w:jc w:val="both"/>
        <w:rPr>
          <w:sz w:val="28"/>
          <w:szCs w:val="28"/>
        </w:rPr>
      </w:pPr>
      <w:r>
        <w:rPr>
          <w:sz w:val="28"/>
          <w:szCs w:val="28"/>
        </w:rPr>
        <w:t>This pattern typically lasts anywhere from two or three years to fifteen years.</w:t>
      </w:r>
    </w:p>
    <w:p w:rsidR="00D74FBE" w:rsidRDefault="00D74FBE" w:rsidP="00D74FBE">
      <w:pPr>
        <w:numPr>
          <w:ilvl w:val="2"/>
          <w:numId w:val="4"/>
        </w:numPr>
        <w:jc w:val="both"/>
        <w:rPr>
          <w:sz w:val="28"/>
          <w:szCs w:val="28"/>
        </w:rPr>
      </w:pPr>
      <w:r>
        <w:rPr>
          <w:sz w:val="28"/>
          <w:szCs w:val="28"/>
        </w:rPr>
        <w:t>That fifteen year span was the Great Depression</w:t>
      </w:r>
    </w:p>
    <w:p w:rsidR="00EA605A" w:rsidRDefault="0071550D" w:rsidP="00EA605A">
      <w:pPr>
        <w:numPr>
          <w:ilvl w:val="0"/>
          <w:numId w:val="4"/>
        </w:numPr>
        <w:jc w:val="both"/>
        <w:rPr>
          <w:sz w:val="28"/>
          <w:szCs w:val="28"/>
        </w:rPr>
      </w:pPr>
      <w:r>
        <w:rPr>
          <w:sz w:val="28"/>
          <w:szCs w:val="28"/>
        </w:rPr>
        <w:t>Are you unemployed?</w:t>
      </w:r>
    </w:p>
    <w:p w:rsidR="00962E7A" w:rsidRPr="00676384" w:rsidRDefault="00962E7A" w:rsidP="00676384">
      <w:pPr>
        <w:numPr>
          <w:ilvl w:val="1"/>
          <w:numId w:val="4"/>
        </w:numPr>
        <w:jc w:val="both"/>
        <w:rPr>
          <w:sz w:val="28"/>
          <w:szCs w:val="28"/>
        </w:rPr>
      </w:pPr>
      <w:r w:rsidRPr="00676384">
        <w:rPr>
          <w:sz w:val="28"/>
          <w:szCs w:val="28"/>
        </w:rPr>
        <w:t>On the surface it should be easily to calculate the unemployment rate. But it quickly becomes clear it’s not that simple. Do we really consider</w:t>
      </w:r>
      <w:r w:rsidR="00676384">
        <w:rPr>
          <w:sz w:val="28"/>
          <w:szCs w:val="28"/>
        </w:rPr>
        <w:t xml:space="preserve"> a</w:t>
      </w:r>
      <w:r w:rsidRPr="00676384">
        <w:rPr>
          <w:sz w:val="28"/>
          <w:szCs w:val="28"/>
        </w:rPr>
        <w:t xml:space="preserve"> baby</w:t>
      </w:r>
      <w:r w:rsidR="00676384">
        <w:rPr>
          <w:sz w:val="28"/>
          <w:szCs w:val="28"/>
        </w:rPr>
        <w:t>, or a retired person, or a student, or a homemaker</w:t>
      </w:r>
      <w:r w:rsidRPr="00676384">
        <w:rPr>
          <w:sz w:val="28"/>
          <w:szCs w:val="28"/>
        </w:rPr>
        <w:t xml:space="preserve"> unemployed?</w:t>
      </w:r>
    </w:p>
    <w:p w:rsidR="00962E7A" w:rsidRDefault="00962E7A" w:rsidP="00962E7A">
      <w:pPr>
        <w:numPr>
          <w:ilvl w:val="1"/>
          <w:numId w:val="4"/>
        </w:numPr>
        <w:jc w:val="both"/>
        <w:rPr>
          <w:sz w:val="28"/>
          <w:szCs w:val="28"/>
        </w:rPr>
      </w:pPr>
      <w:r>
        <w:rPr>
          <w:sz w:val="28"/>
          <w:szCs w:val="28"/>
        </w:rPr>
        <w:lastRenderedPageBreak/>
        <w:t>We defined</w:t>
      </w:r>
      <w:r w:rsidR="00676384">
        <w:rPr>
          <w:sz w:val="28"/>
          <w:szCs w:val="28"/>
        </w:rPr>
        <w:t xml:space="preserve"> the</w:t>
      </w:r>
      <w:r>
        <w:rPr>
          <w:sz w:val="28"/>
          <w:szCs w:val="28"/>
        </w:rPr>
        <w:t xml:space="preserve"> </w:t>
      </w:r>
      <w:r w:rsidRPr="00962E7A">
        <w:rPr>
          <w:i/>
          <w:sz w:val="28"/>
          <w:szCs w:val="28"/>
        </w:rPr>
        <w:t>unemployed</w:t>
      </w:r>
      <w:r>
        <w:rPr>
          <w:sz w:val="28"/>
          <w:szCs w:val="28"/>
        </w:rPr>
        <w:t xml:space="preserve"> as adult </w:t>
      </w:r>
      <w:r w:rsidR="00273A8B">
        <w:rPr>
          <w:sz w:val="28"/>
          <w:szCs w:val="28"/>
        </w:rPr>
        <w:t xml:space="preserve">(16 years and older) </w:t>
      </w:r>
      <w:r>
        <w:rPr>
          <w:sz w:val="28"/>
          <w:szCs w:val="28"/>
        </w:rPr>
        <w:t xml:space="preserve">workers who do not have a job but are </w:t>
      </w:r>
      <w:r w:rsidR="00273A8B">
        <w:rPr>
          <w:sz w:val="28"/>
          <w:szCs w:val="28"/>
        </w:rPr>
        <w:t xml:space="preserve">willing to work, able to work, and </w:t>
      </w:r>
      <w:r w:rsidR="005E6278">
        <w:rPr>
          <w:sz w:val="28"/>
          <w:szCs w:val="28"/>
        </w:rPr>
        <w:t xml:space="preserve">actively </w:t>
      </w:r>
      <w:r w:rsidR="00273A8B">
        <w:rPr>
          <w:sz w:val="28"/>
          <w:szCs w:val="28"/>
        </w:rPr>
        <w:t>looking for work</w:t>
      </w:r>
      <w:r>
        <w:rPr>
          <w:sz w:val="28"/>
          <w:szCs w:val="28"/>
        </w:rPr>
        <w:t xml:space="preserve">. Combine them with </w:t>
      </w:r>
      <w:r w:rsidR="00273A8B">
        <w:rPr>
          <w:sz w:val="28"/>
          <w:szCs w:val="28"/>
        </w:rPr>
        <w:t xml:space="preserve">the employed (those with full or part time jobs) and you have the </w:t>
      </w:r>
      <w:r w:rsidR="00273A8B">
        <w:rPr>
          <w:i/>
          <w:sz w:val="28"/>
          <w:szCs w:val="28"/>
        </w:rPr>
        <w:t>labor force</w:t>
      </w:r>
      <w:r w:rsidR="00273A8B">
        <w:rPr>
          <w:sz w:val="28"/>
          <w:szCs w:val="28"/>
        </w:rPr>
        <w:t>.</w:t>
      </w:r>
    </w:p>
    <w:p w:rsidR="00962E7A" w:rsidRDefault="00962E7A" w:rsidP="00962E7A">
      <w:pPr>
        <w:ind w:left="1440"/>
        <w:jc w:val="both"/>
        <w:rPr>
          <w:sz w:val="28"/>
          <w:szCs w:val="28"/>
        </w:rPr>
      </w:pPr>
    </w:p>
    <w:p w:rsidR="00962E7A" w:rsidRPr="00CC2025" w:rsidRDefault="00962E7A" w:rsidP="00962E7A">
      <w:pPr>
        <w:ind w:left="1440"/>
        <w:jc w:val="both"/>
        <w:rPr>
          <w:sz w:val="28"/>
          <w:szCs w:val="28"/>
        </w:rPr>
      </w:pPr>
      <m:oMathPara>
        <m:oMath>
          <m:r>
            <w:rPr>
              <w:rFonts w:ascii="Cambria Math" w:hAnsi="Cambria Math"/>
              <w:sz w:val="28"/>
              <w:szCs w:val="28"/>
            </w:rPr>
            <m:t xml:space="preserve">Unemployment= </m:t>
          </m:r>
          <m:f>
            <m:fPr>
              <m:ctrlPr>
                <w:rPr>
                  <w:rFonts w:ascii="Cambria Math" w:hAnsi="Cambria Math"/>
                  <w:i/>
                  <w:sz w:val="28"/>
                  <w:szCs w:val="28"/>
                </w:rPr>
              </m:ctrlPr>
            </m:fPr>
            <m:num>
              <m:r>
                <w:rPr>
                  <w:rFonts w:ascii="Cambria Math" w:hAnsi="Cambria Math"/>
                  <w:sz w:val="28"/>
                  <w:szCs w:val="28"/>
                </w:rPr>
                <m:t>Unemployed</m:t>
              </m:r>
            </m:num>
            <m:den>
              <m:r>
                <w:rPr>
                  <w:rFonts w:ascii="Cambria Math" w:hAnsi="Cambria Math"/>
                  <w:sz w:val="28"/>
                  <w:szCs w:val="28"/>
                </w:rPr>
                <m:t>Unemployed+Employed</m:t>
              </m:r>
            </m:den>
          </m:f>
          <m:r>
            <w:rPr>
              <w:rFonts w:ascii="Cambria Math" w:hAnsi="Cambria Math"/>
              <w:sz w:val="28"/>
              <w:szCs w:val="28"/>
            </w:rPr>
            <m:t>×100</m:t>
          </m:r>
        </m:oMath>
      </m:oMathPara>
    </w:p>
    <w:p w:rsidR="00CC2025" w:rsidRDefault="00CC2025" w:rsidP="00962E7A">
      <w:pPr>
        <w:ind w:left="1440"/>
        <w:jc w:val="both"/>
        <w:rPr>
          <w:sz w:val="28"/>
          <w:szCs w:val="28"/>
        </w:rPr>
      </w:pPr>
    </w:p>
    <w:p w:rsidR="00CC2025" w:rsidRDefault="00CC2025" w:rsidP="00CC2025">
      <w:pPr>
        <w:ind w:left="1440"/>
        <w:jc w:val="both"/>
        <w:rPr>
          <w:sz w:val="28"/>
          <w:szCs w:val="28"/>
        </w:rPr>
      </w:pPr>
      <m:oMathPara>
        <m:oMath>
          <m:r>
            <w:rPr>
              <w:rFonts w:ascii="Cambria Math" w:hAnsi="Cambria Math"/>
              <w:sz w:val="28"/>
              <w:szCs w:val="28"/>
            </w:rPr>
            <m:t>Unemployment=</m:t>
          </m:r>
          <m:f>
            <m:fPr>
              <m:ctrlPr>
                <w:rPr>
                  <w:rFonts w:ascii="Cambria Math" w:hAnsi="Cambria Math"/>
                  <w:i/>
                  <w:sz w:val="28"/>
                  <w:szCs w:val="28"/>
                </w:rPr>
              </m:ctrlPr>
            </m:fPr>
            <m:num>
              <m:r>
                <w:rPr>
                  <w:rFonts w:ascii="Cambria Math" w:hAnsi="Cambria Math"/>
                  <w:sz w:val="28"/>
                  <w:szCs w:val="28"/>
                </w:rPr>
                <m:t>Unemployed</m:t>
              </m:r>
            </m:num>
            <m:den>
              <m:r>
                <w:rPr>
                  <w:rFonts w:ascii="Cambria Math" w:hAnsi="Cambria Math"/>
                  <w:sz w:val="28"/>
                  <w:szCs w:val="28"/>
                </w:rPr>
                <m:t>Labor Force</m:t>
              </m:r>
            </m:den>
          </m:f>
          <m:r>
            <w:rPr>
              <w:rFonts w:ascii="Cambria Math" w:hAnsi="Cambria Math"/>
              <w:sz w:val="28"/>
              <w:szCs w:val="28"/>
            </w:rPr>
            <m:t>×100</m:t>
          </m:r>
        </m:oMath>
      </m:oMathPara>
    </w:p>
    <w:p w:rsidR="00962E7A" w:rsidRDefault="00962E7A" w:rsidP="00962E7A">
      <w:pPr>
        <w:ind w:left="1440"/>
        <w:jc w:val="both"/>
        <w:rPr>
          <w:sz w:val="28"/>
          <w:szCs w:val="28"/>
        </w:rPr>
      </w:pPr>
    </w:p>
    <w:p w:rsidR="00962E7A" w:rsidRDefault="00273A8B" w:rsidP="00962E7A">
      <w:pPr>
        <w:numPr>
          <w:ilvl w:val="2"/>
          <w:numId w:val="4"/>
        </w:numPr>
        <w:jc w:val="both"/>
        <w:rPr>
          <w:sz w:val="28"/>
          <w:szCs w:val="28"/>
        </w:rPr>
      </w:pPr>
      <w:r>
        <w:rPr>
          <w:sz w:val="28"/>
          <w:szCs w:val="28"/>
        </w:rPr>
        <w:t xml:space="preserve">Thus the unemployment rate does not consider people in prison. When an unemployed person </w:t>
      </w:r>
      <w:r w:rsidR="005E6278">
        <w:rPr>
          <w:sz w:val="28"/>
          <w:szCs w:val="28"/>
        </w:rPr>
        <w:t>goes to jail</w:t>
      </w:r>
      <w:r>
        <w:rPr>
          <w:sz w:val="28"/>
          <w:szCs w:val="28"/>
        </w:rPr>
        <w:t>, the unemployment rate goes down!</w:t>
      </w:r>
    </w:p>
    <w:p w:rsidR="005E6278" w:rsidRDefault="005E6278" w:rsidP="00273A8B">
      <w:pPr>
        <w:numPr>
          <w:ilvl w:val="1"/>
          <w:numId w:val="4"/>
        </w:numPr>
        <w:jc w:val="both"/>
        <w:rPr>
          <w:sz w:val="28"/>
          <w:szCs w:val="28"/>
        </w:rPr>
      </w:pPr>
      <w:r>
        <w:rPr>
          <w:sz w:val="28"/>
          <w:szCs w:val="28"/>
        </w:rPr>
        <w:t xml:space="preserve">The unemployment rate is a little suspicious because it doesn’t include </w:t>
      </w:r>
      <w:r>
        <w:rPr>
          <w:i/>
          <w:sz w:val="28"/>
          <w:szCs w:val="28"/>
        </w:rPr>
        <w:t>discouraged workers</w:t>
      </w:r>
      <w:r>
        <w:rPr>
          <w:sz w:val="28"/>
          <w:szCs w:val="28"/>
        </w:rPr>
        <w:t>—workers who have given up looking for work but who would still like a job.</w:t>
      </w:r>
    </w:p>
    <w:p w:rsidR="00A467E9" w:rsidRDefault="00A467E9" w:rsidP="00A467E9">
      <w:pPr>
        <w:numPr>
          <w:ilvl w:val="2"/>
          <w:numId w:val="4"/>
        </w:numPr>
        <w:jc w:val="both"/>
        <w:rPr>
          <w:sz w:val="28"/>
          <w:szCs w:val="28"/>
        </w:rPr>
      </w:pPr>
      <w:r>
        <w:rPr>
          <w:sz w:val="28"/>
          <w:szCs w:val="28"/>
        </w:rPr>
        <w:t>But inc</w:t>
      </w:r>
      <w:r w:rsidR="00011B51">
        <w:rPr>
          <w:sz w:val="28"/>
          <w:szCs w:val="28"/>
        </w:rPr>
        <w:t xml:space="preserve">luding such workers is tricky because discouragement is a spectrum. </w:t>
      </w:r>
      <w:r w:rsidR="00011B51">
        <w:rPr>
          <w:i/>
          <w:sz w:val="28"/>
          <w:szCs w:val="28"/>
        </w:rPr>
        <w:t>How</w:t>
      </w:r>
      <w:r w:rsidR="00011B51">
        <w:rPr>
          <w:sz w:val="28"/>
          <w:szCs w:val="28"/>
        </w:rPr>
        <w:t xml:space="preserve"> discouraged are you? Should you include workers who became so discouraged, they went back to school?</w:t>
      </w:r>
    </w:p>
    <w:p w:rsidR="00011B51" w:rsidRDefault="00011B51" w:rsidP="00A467E9">
      <w:pPr>
        <w:numPr>
          <w:ilvl w:val="2"/>
          <w:numId w:val="4"/>
        </w:numPr>
        <w:jc w:val="both"/>
        <w:rPr>
          <w:sz w:val="28"/>
          <w:szCs w:val="28"/>
        </w:rPr>
      </w:pPr>
      <w:r>
        <w:rPr>
          <w:sz w:val="28"/>
          <w:szCs w:val="28"/>
        </w:rPr>
        <w:t>Thankfully, the good folks at BLS calculate unemployment in different ways</w:t>
      </w:r>
      <w:r w:rsidR="008435EE">
        <w:rPr>
          <w:sz w:val="28"/>
          <w:szCs w:val="28"/>
        </w:rPr>
        <w:t xml:space="preserve"> (all values are as a percent</w:t>
      </w:r>
      <w:r w:rsidR="00676384">
        <w:rPr>
          <w:sz w:val="28"/>
          <w:szCs w:val="28"/>
        </w:rPr>
        <w:t>)</w:t>
      </w:r>
      <w:r>
        <w:rPr>
          <w:sz w:val="28"/>
          <w:szCs w:val="28"/>
        </w:rPr>
        <w:t>:</w:t>
      </w:r>
      <w:r>
        <w:rPr>
          <w:rStyle w:val="FootnoteReference"/>
          <w:sz w:val="28"/>
          <w:szCs w:val="28"/>
        </w:rPr>
        <w:footnoteReference w:id="1"/>
      </w:r>
    </w:p>
    <w:p w:rsidR="00676384" w:rsidRDefault="00676384" w:rsidP="00676384">
      <w:pPr>
        <w:ind w:left="2160"/>
        <w:jc w:val="both"/>
        <w:rPr>
          <w:sz w:val="28"/>
          <w:szCs w:val="28"/>
        </w:rPr>
      </w:pPr>
    </w:p>
    <w:tbl>
      <w:tblPr>
        <w:tblW w:w="9555" w:type="dxa"/>
        <w:tblInd w:w="93" w:type="dxa"/>
        <w:tblLayout w:type="fixed"/>
        <w:tblLook w:val="04A0"/>
      </w:tblPr>
      <w:tblGrid>
        <w:gridCol w:w="7755"/>
        <w:gridCol w:w="900"/>
        <w:gridCol w:w="900"/>
      </w:tblGrid>
      <w:tr w:rsidR="00292B2B" w:rsidRPr="00676384" w:rsidTr="00292B2B">
        <w:trPr>
          <w:trHeight w:val="160"/>
        </w:trPr>
        <w:tc>
          <w:tcPr>
            <w:tcW w:w="7755" w:type="dxa"/>
            <w:vMerge w:val="restart"/>
            <w:shd w:val="clear" w:color="auto" w:fill="auto"/>
            <w:tcMar>
              <w:left w:w="0" w:type="dxa"/>
              <w:right w:w="0" w:type="dxa"/>
            </w:tcMar>
            <w:vAlign w:val="center"/>
            <w:hideMark/>
          </w:tcPr>
          <w:p w:rsidR="00292B2B" w:rsidRPr="00676384" w:rsidRDefault="00292B2B" w:rsidP="00F9624F">
            <w:pPr>
              <w:jc w:val="center"/>
              <w:rPr>
                <w:b/>
                <w:bCs/>
                <w:color w:val="000000"/>
                <w:sz w:val="18"/>
                <w:szCs w:val="18"/>
              </w:rPr>
            </w:pPr>
            <w:r w:rsidRPr="00676384">
              <w:rPr>
                <w:b/>
                <w:bCs/>
                <w:color w:val="000000"/>
                <w:sz w:val="18"/>
                <w:szCs w:val="18"/>
              </w:rPr>
              <w:t>Measure</w:t>
            </w:r>
          </w:p>
        </w:tc>
        <w:tc>
          <w:tcPr>
            <w:tcW w:w="1800" w:type="dxa"/>
            <w:gridSpan w:val="2"/>
            <w:tcMar>
              <w:left w:w="0" w:type="dxa"/>
              <w:right w:w="0" w:type="dxa"/>
            </w:tcMar>
          </w:tcPr>
          <w:p w:rsidR="00292B2B" w:rsidRPr="00676384" w:rsidRDefault="00292B2B" w:rsidP="00F9624F">
            <w:pPr>
              <w:jc w:val="center"/>
              <w:rPr>
                <w:b/>
                <w:bCs/>
                <w:color w:val="000000"/>
                <w:sz w:val="18"/>
                <w:szCs w:val="18"/>
              </w:rPr>
            </w:pPr>
            <w:r w:rsidRPr="00676384">
              <w:rPr>
                <w:b/>
                <w:bCs/>
                <w:color w:val="000000"/>
                <w:sz w:val="18"/>
                <w:szCs w:val="18"/>
              </w:rPr>
              <w:t>Sea</w:t>
            </w:r>
            <w:r>
              <w:rPr>
                <w:b/>
                <w:bCs/>
                <w:color w:val="000000"/>
                <w:sz w:val="18"/>
                <w:szCs w:val="18"/>
              </w:rPr>
              <w:t>sonally</w:t>
            </w:r>
            <w:r w:rsidRPr="00676384">
              <w:rPr>
                <w:b/>
                <w:bCs/>
                <w:color w:val="000000"/>
                <w:sz w:val="18"/>
                <w:szCs w:val="18"/>
              </w:rPr>
              <w:t xml:space="preserve"> Adj</w:t>
            </w:r>
            <w:r>
              <w:rPr>
                <w:b/>
                <w:bCs/>
                <w:color w:val="000000"/>
                <w:sz w:val="18"/>
                <w:szCs w:val="18"/>
              </w:rPr>
              <w:t>usted</w:t>
            </w:r>
          </w:p>
        </w:tc>
      </w:tr>
      <w:tr w:rsidR="00292B2B" w:rsidRPr="00676384" w:rsidTr="00292B2B">
        <w:trPr>
          <w:trHeight w:val="268"/>
        </w:trPr>
        <w:tc>
          <w:tcPr>
            <w:tcW w:w="7755" w:type="dxa"/>
            <w:vMerge/>
            <w:tcMar>
              <w:left w:w="0" w:type="dxa"/>
              <w:right w:w="0" w:type="dxa"/>
            </w:tcMar>
            <w:vAlign w:val="center"/>
            <w:hideMark/>
          </w:tcPr>
          <w:p w:rsidR="00292B2B" w:rsidRPr="00676384" w:rsidRDefault="00292B2B" w:rsidP="00F9624F">
            <w:pPr>
              <w:rPr>
                <w:b/>
                <w:bCs/>
                <w:color w:val="000000"/>
                <w:sz w:val="18"/>
                <w:szCs w:val="18"/>
              </w:rPr>
            </w:pPr>
          </w:p>
        </w:tc>
        <w:tc>
          <w:tcPr>
            <w:tcW w:w="900" w:type="dxa"/>
            <w:tcMar>
              <w:left w:w="0" w:type="dxa"/>
              <w:right w:w="0" w:type="dxa"/>
            </w:tcMar>
          </w:tcPr>
          <w:p w:rsidR="00292B2B" w:rsidRPr="00676384" w:rsidRDefault="00292B2B" w:rsidP="00F9624F">
            <w:pPr>
              <w:jc w:val="center"/>
              <w:rPr>
                <w:b/>
                <w:bCs/>
                <w:color w:val="000000"/>
                <w:sz w:val="18"/>
                <w:szCs w:val="18"/>
              </w:rPr>
            </w:pPr>
            <w:r w:rsidRPr="00676384">
              <w:rPr>
                <w:b/>
                <w:bCs/>
                <w:color w:val="000000"/>
                <w:sz w:val="18"/>
                <w:szCs w:val="18"/>
              </w:rPr>
              <w:t>Jan. 2014</w:t>
            </w:r>
          </w:p>
        </w:tc>
        <w:tc>
          <w:tcPr>
            <w:tcW w:w="900" w:type="dxa"/>
            <w:shd w:val="clear" w:color="auto" w:fill="auto"/>
            <w:tcMar>
              <w:left w:w="0" w:type="dxa"/>
              <w:right w:w="0" w:type="dxa"/>
            </w:tcMar>
            <w:vAlign w:val="center"/>
            <w:hideMark/>
          </w:tcPr>
          <w:p w:rsidR="00292B2B" w:rsidRPr="00676384" w:rsidRDefault="00292B2B" w:rsidP="00F9624F">
            <w:pPr>
              <w:jc w:val="center"/>
              <w:rPr>
                <w:b/>
                <w:bCs/>
                <w:color w:val="000000"/>
                <w:sz w:val="18"/>
                <w:szCs w:val="18"/>
              </w:rPr>
            </w:pPr>
            <w:r w:rsidRPr="00676384">
              <w:rPr>
                <w:b/>
                <w:bCs/>
                <w:color w:val="000000"/>
                <w:sz w:val="18"/>
                <w:szCs w:val="18"/>
              </w:rPr>
              <w:t>Jan. 201</w:t>
            </w:r>
            <w:r>
              <w:rPr>
                <w:b/>
                <w:bCs/>
                <w:color w:val="000000"/>
                <w:sz w:val="18"/>
                <w:szCs w:val="18"/>
              </w:rPr>
              <w:t>5</w:t>
            </w:r>
          </w:p>
        </w:tc>
      </w:tr>
      <w:tr w:rsidR="00292B2B" w:rsidRPr="00676384" w:rsidTr="00292B2B">
        <w:trPr>
          <w:trHeight w:val="385"/>
        </w:trPr>
        <w:tc>
          <w:tcPr>
            <w:tcW w:w="7755" w:type="dxa"/>
            <w:shd w:val="clear" w:color="auto" w:fill="auto"/>
            <w:tcMar>
              <w:left w:w="0" w:type="dxa"/>
              <w:right w:w="0" w:type="dxa"/>
            </w:tcMar>
            <w:vAlign w:val="center"/>
            <w:hideMark/>
          </w:tcPr>
          <w:p w:rsidR="00292B2B" w:rsidRPr="00676384" w:rsidRDefault="00292B2B" w:rsidP="00F9624F">
            <w:pPr>
              <w:rPr>
                <w:color w:val="333333"/>
                <w:sz w:val="18"/>
                <w:szCs w:val="18"/>
              </w:rPr>
            </w:pPr>
            <w:r w:rsidRPr="00676384">
              <w:rPr>
                <w:color w:val="333333"/>
                <w:sz w:val="18"/>
                <w:szCs w:val="18"/>
              </w:rPr>
              <w:t>U-1 Persons unemployed 15 weeks or longer, as a percent of the civilian labor force</w:t>
            </w:r>
          </w:p>
        </w:tc>
        <w:tc>
          <w:tcPr>
            <w:tcW w:w="900" w:type="dxa"/>
            <w:tcMar>
              <w:left w:w="0" w:type="dxa"/>
              <w:right w:w="0" w:type="dxa"/>
            </w:tcMar>
            <w:vAlign w:val="center"/>
          </w:tcPr>
          <w:p w:rsidR="00292B2B" w:rsidRPr="00676384" w:rsidRDefault="00292B2B" w:rsidP="00F9624F">
            <w:pPr>
              <w:jc w:val="center"/>
              <w:rPr>
                <w:color w:val="000000"/>
                <w:sz w:val="18"/>
                <w:szCs w:val="18"/>
              </w:rPr>
            </w:pPr>
            <w:r w:rsidRPr="00676384">
              <w:rPr>
                <w:color w:val="000000"/>
                <w:sz w:val="18"/>
                <w:szCs w:val="18"/>
              </w:rPr>
              <w:t>3.4</w:t>
            </w:r>
          </w:p>
        </w:tc>
        <w:tc>
          <w:tcPr>
            <w:tcW w:w="900" w:type="dxa"/>
            <w:shd w:val="clear" w:color="auto" w:fill="auto"/>
            <w:tcMar>
              <w:left w:w="0" w:type="dxa"/>
              <w:right w:w="0" w:type="dxa"/>
            </w:tcMar>
            <w:vAlign w:val="center"/>
          </w:tcPr>
          <w:p w:rsidR="00292B2B" w:rsidRPr="00676384" w:rsidRDefault="00292B2B" w:rsidP="00F9624F">
            <w:pPr>
              <w:jc w:val="center"/>
              <w:rPr>
                <w:color w:val="000000"/>
                <w:sz w:val="18"/>
                <w:szCs w:val="18"/>
              </w:rPr>
            </w:pPr>
            <w:r>
              <w:rPr>
                <w:color w:val="000000"/>
                <w:sz w:val="18"/>
                <w:szCs w:val="18"/>
              </w:rPr>
              <w:t>2.7</w:t>
            </w:r>
          </w:p>
        </w:tc>
      </w:tr>
      <w:tr w:rsidR="00292B2B" w:rsidRPr="00676384" w:rsidTr="00292B2B">
        <w:trPr>
          <w:trHeight w:val="349"/>
        </w:trPr>
        <w:tc>
          <w:tcPr>
            <w:tcW w:w="7755" w:type="dxa"/>
            <w:shd w:val="clear" w:color="auto" w:fill="auto"/>
            <w:tcMar>
              <w:left w:w="0" w:type="dxa"/>
              <w:right w:w="0" w:type="dxa"/>
            </w:tcMar>
            <w:vAlign w:val="center"/>
            <w:hideMark/>
          </w:tcPr>
          <w:p w:rsidR="00292B2B" w:rsidRPr="00676384" w:rsidRDefault="00292B2B" w:rsidP="00F9624F">
            <w:pPr>
              <w:rPr>
                <w:color w:val="333333"/>
                <w:sz w:val="18"/>
                <w:szCs w:val="18"/>
              </w:rPr>
            </w:pPr>
            <w:r w:rsidRPr="00676384">
              <w:rPr>
                <w:color w:val="333333"/>
                <w:sz w:val="18"/>
                <w:szCs w:val="18"/>
              </w:rPr>
              <w:t>U-2 Job losers and persons who completed temporary jobs, as a percent of the civilian labor force</w:t>
            </w:r>
          </w:p>
        </w:tc>
        <w:tc>
          <w:tcPr>
            <w:tcW w:w="900" w:type="dxa"/>
            <w:tcMar>
              <w:left w:w="0" w:type="dxa"/>
              <w:right w:w="0" w:type="dxa"/>
            </w:tcMar>
            <w:vAlign w:val="center"/>
          </w:tcPr>
          <w:p w:rsidR="00292B2B" w:rsidRPr="00676384" w:rsidRDefault="00292B2B" w:rsidP="00F9624F">
            <w:pPr>
              <w:jc w:val="center"/>
              <w:rPr>
                <w:color w:val="000000"/>
                <w:sz w:val="18"/>
                <w:szCs w:val="18"/>
              </w:rPr>
            </w:pPr>
            <w:r w:rsidRPr="00676384">
              <w:rPr>
                <w:color w:val="000000"/>
                <w:sz w:val="18"/>
                <w:szCs w:val="18"/>
              </w:rPr>
              <w:t>3.5</w:t>
            </w:r>
          </w:p>
        </w:tc>
        <w:tc>
          <w:tcPr>
            <w:tcW w:w="900" w:type="dxa"/>
            <w:shd w:val="clear" w:color="auto" w:fill="auto"/>
            <w:tcMar>
              <w:left w:w="0" w:type="dxa"/>
              <w:right w:w="0" w:type="dxa"/>
            </w:tcMar>
            <w:vAlign w:val="center"/>
          </w:tcPr>
          <w:p w:rsidR="00292B2B" w:rsidRPr="00676384" w:rsidRDefault="00292B2B" w:rsidP="00F9624F">
            <w:pPr>
              <w:jc w:val="center"/>
              <w:rPr>
                <w:color w:val="000000"/>
                <w:sz w:val="18"/>
                <w:szCs w:val="18"/>
              </w:rPr>
            </w:pPr>
            <w:r>
              <w:rPr>
                <w:color w:val="000000"/>
                <w:sz w:val="18"/>
                <w:szCs w:val="18"/>
              </w:rPr>
              <w:t>2.7</w:t>
            </w:r>
          </w:p>
        </w:tc>
      </w:tr>
      <w:tr w:rsidR="00292B2B" w:rsidRPr="00676384" w:rsidTr="00292B2B">
        <w:trPr>
          <w:trHeight w:val="331"/>
        </w:trPr>
        <w:tc>
          <w:tcPr>
            <w:tcW w:w="7755" w:type="dxa"/>
            <w:shd w:val="clear" w:color="auto" w:fill="auto"/>
            <w:tcMar>
              <w:left w:w="0" w:type="dxa"/>
              <w:right w:w="0" w:type="dxa"/>
            </w:tcMar>
            <w:vAlign w:val="center"/>
            <w:hideMark/>
          </w:tcPr>
          <w:p w:rsidR="00292B2B" w:rsidRPr="00676384" w:rsidRDefault="00292B2B" w:rsidP="00F9624F">
            <w:pPr>
              <w:rPr>
                <w:b/>
                <w:color w:val="333333"/>
                <w:sz w:val="18"/>
                <w:szCs w:val="18"/>
              </w:rPr>
            </w:pPr>
            <w:r w:rsidRPr="00676384">
              <w:rPr>
                <w:b/>
                <w:color w:val="333333"/>
                <w:sz w:val="18"/>
                <w:szCs w:val="18"/>
              </w:rPr>
              <w:t>U-3 Total unemployed, as a percent of the civilian labor force (official unemployment rate)</w:t>
            </w:r>
          </w:p>
        </w:tc>
        <w:tc>
          <w:tcPr>
            <w:tcW w:w="900" w:type="dxa"/>
            <w:tcMar>
              <w:left w:w="0" w:type="dxa"/>
              <w:right w:w="0" w:type="dxa"/>
            </w:tcMar>
            <w:vAlign w:val="center"/>
          </w:tcPr>
          <w:p w:rsidR="00292B2B" w:rsidRPr="00676384" w:rsidRDefault="00292B2B" w:rsidP="00F9624F">
            <w:pPr>
              <w:jc w:val="center"/>
              <w:rPr>
                <w:b/>
                <w:color w:val="000000"/>
                <w:sz w:val="18"/>
                <w:szCs w:val="18"/>
              </w:rPr>
            </w:pPr>
            <w:r w:rsidRPr="00676384">
              <w:rPr>
                <w:b/>
                <w:color w:val="000000"/>
                <w:sz w:val="18"/>
                <w:szCs w:val="18"/>
              </w:rPr>
              <w:t>6.6</w:t>
            </w:r>
          </w:p>
        </w:tc>
        <w:tc>
          <w:tcPr>
            <w:tcW w:w="900" w:type="dxa"/>
            <w:shd w:val="clear" w:color="auto" w:fill="auto"/>
            <w:tcMar>
              <w:left w:w="0" w:type="dxa"/>
              <w:right w:w="0" w:type="dxa"/>
            </w:tcMar>
            <w:vAlign w:val="center"/>
          </w:tcPr>
          <w:p w:rsidR="00292B2B" w:rsidRPr="00676384" w:rsidRDefault="00292B2B" w:rsidP="00F9624F">
            <w:pPr>
              <w:jc w:val="center"/>
              <w:rPr>
                <w:b/>
                <w:color w:val="000000"/>
                <w:sz w:val="18"/>
                <w:szCs w:val="18"/>
              </w:rPr>
            </w:pPr>
            <w:r>
              <w:rPr>
                <w:b/>
                <w:color w:val="000000"/>
                <w:sz w:val="18"/>
                <w:szCs w:val="18"/>
              </w:rPr>
              <w:t>5.7</w:t>
            </w:r>
          </w:p>
        </w:tc>
      </w:tr>
      <w:tr w:rsidR="00292B2B" w:rsidRPr="00676384" w:rsidTr="00292B2B">
        <w:trPr>
          <w:trHeight w:val="465"/>
        </w:trPr>
        <w:tc>
          <w:tcPr>
            <w:tcW w:w="7755" w:type="dxa"/>
            <w:shd w:val="clear" w:color="auto" w:fill="auto"/>
            <w:tcMar>
              <w:left w:w="0" w:type="dxa"/>
              <w:right w:w="0" w:type="dxa"/>
            </w:tcMar>
            <w:vAlign w:val="center"/>
            <w:hideMark/>
          </w:tcPr>
          <w:p w:rsidR="00292B2B" w:rsidRPr="00676384" w:rsidRDefault="00292B2B" w:rsidP="00F9624F">
            <w:pPr>
              <w:rPr>
                <w:color w:val="333333"/>
                <w:sz w:val="18"/>
                <w:szCs w:val="18"/>
              </w:rPr>
            </w:pPr>
            <w:r w:rsidRPr="00676384">
              <w:rPr>
                <w:color w:val="333333"/>
                <w:sz w:val="18"/>
                <w:szCs w:val="18"/>
              </w:rPr>
              <w:t>U-4 Total unemployed plus discouraged workers, as a percent of the civilian labor force plus discouraged workers</w:t>
            </w:r>
          </w:p>
        </w:tc>
        <w:tc>
          <w:tcPr>
            <w:tcW w:w="900" w:type="dxa"/>
            <w:tcMar>
              <w:left w:w="0" w:type="dxa"/>
              <w:right w:w="0" w:type="dxa"/>
            </w:tcMar>
            <w:vAlign w:val="center"/>
          </w:tcPr>
          <w:p w:rsidR="00292B2B" w:rsidRPr="00676384" w:rsidRDefault="00292B2B" w:rsidP="00F9624F">
            <w:pPr>
              <w:jc w:val="center"/>
              <w:rPr>
                <w:color w:val="000000"/>
                <w:sz w:val="18"/>
                <w:szCs w:val="18"/>
              </w:rPr>
            </w:pPr>
            <w:r w:rsidRPr="00676384">
              <w:rPr>
                <w:color w:val="000000"/>
                <w:sz w:val="18"/>
                <w:szCs w:val="18"/>
              </w:rPr>
              <w:t>7.1</w:t>
            </w:r>
          </w:p>
        </w:tc>
        <w:tc>
          <w:tcPr>
            <w:tcW w:w="900" w:type="dxa"/>
            <w:shd w:val="clear" w:color="auto" w:fill="auto"/>
            <w:tcMar>
              <w:left w:w="0" w:type="dxa"/>
              <w:right w:w="0" w:type="dxa"/>
            </w:tcMar>
            <w:vAlign w:val="center"/>
          </w:tcPr>
          <w:p w:rsidR="00292B2B" w:rsidRPr="00676384" w:rsidRDefault="00292B2B" w:rsidP="00F9624F">
            <w:pPr>
              <w:jc w:val="center"/>
              <w:rPr>
                <w:color w:val="000000"/>
                <w:sz w:val="18"/>
                <w:szCs w:val="18"/>
              </w:rPr>
            </w:pPr>
            <w:r>
              <w:rPr>
                <w:color w:val="000000"/>
                <w:sz w:val="18"/>
                <w:szCs w:val="18"/>
              </w:rPr>
              <w:t>6.1</w:t>
            </w:r>
          </w:p>
        </w:tc>
      </w:tr>
      <w:tr w:rsidR="00292B2B" w:rsidRPr="00676384" w:rsidTr="00292B2B">
        <w:trPr>
          <w:trHeight w:val="690"/>
        </w:trPr>
        <w:tc>
          <w:tcPr>
            <w:tcW w:w="7755" w:type="dxa"/>
            <w:shd w:val="clear" w:color="auto" w:fill="auto"/>
            <w:tcMar>
              <w:left w:w="0" w:type="dxa"/>
              <w:right w:w="0" w:type="dxa"/>
            </w:tcMar>
            <w:vAlign w:val="center"/>
            <w:hideMark/>
          </w:tcPr>
          <w:p w:rsidR="00292B2B" w:rsidRPr="00676384" w:rsidRDefault="00292B2B" w:rsidP="00F9624F">
            <w:pPr>
              <w:rPr>
                <w:color w:val="333333"/>
                <w:sz w:val="18"/>
                <w:szCs w:val="18"/>
              </w:rPr>
            </w:pPr>
            <w:r w:rsidRPr="00676384">
              <w:rPr>
                <w:color w:val="333333"/>
                <w:sz w:val="18"/>
                <w:szCs w:val="18"/>
              </w:rPr>
              <w:t>U-5 Total unemployed, plus discouraged workers, plus all other persons marginally attached to the labor force, as a percent of the civilian labor force plus all persons marginally attached to the labor force</w:t>
            </w:r>
          </w:p>
        </w:tc>
        <w:tc>
          <w:tcPr>
            <w:tcW w:w="900" w:type="dxa"/>
            <w:tcMar>
              <w:left w:w="0" w:type="dxa"/>
              <w:right w:w="0" w:type="dxa"/>
            </w:tcMar>
            <w:vAlign w:val="center"/>
          </w:tcPr>
          <w:p w:rsidR="00292B2B" w:rsidRPr="00676384" w:rsidRDefault="00292B2B" w:rsidP="00F9624F">
            <w:pPr>
              <w:jc w:val="center"/>
              <w:rPr>
                <w:color w:val="000000"/>
                <w:sz w:val="18"/>
                <w:szCs w:val="18"/>
              </w:rPr>
            </w:pPr>
            <w:r w:rsidRPr="00676384">
              <w:rPr>
                <w:color w:val="000000"/>
                <w:sz w:val="18"/>
                <w:szCs w:val="18"/>
              </w:rPr>
              <w:t>8.1</w:t>
            </w:r>
          </w:p>
        </w:tc>
        <w:tc>
          <w:tcPr>
            <w:tcW w:w="900" w:type="dxa"/>
            <w:shd w:val="clear" w:color="auto" w:fill="auto"/>
            <w:tcMar>
              <w:left w:w="0" w:type="dxa"/>
              <w:right w:w="0" w:type="dxa"/>
            </w:tcMar>
            <w:vAlign w:val="center"/>
          </w:tcPr>
          <w:p w:rsidR="00292B2B" w:rsidRPr="00676384" w:rsidRDefault="00292B2B" w:rsidP="00F9624F">
            <w:pPr>
              <w:jc w:val="center"/>
              <w:rPr>
                <w:color w:val="000000"/>
                <w:sz w:val="18"/>
                <w:szCs w:val="18"/>
              </w:rPr>
            </w:pPr>
            <w:r>
              <w:rPr>
                <w:color w:val="000000"/>
                <w:sz w:val="18"/>
                <w:szCs w:val="18"/>
              </w:rPr>
              <w:t>7.0</w:t>
            </w:r>
          </w:p>
        </w:tc>
      </w:tr>
      <w:tr w:rsidR="00292B2B" w:rsidRPr="00676384" w:rsidTr="00292B2B">
        <w:trPr>
          <w:trHeight w:val="690"/>
        </w:trPr>
        <w:tc>
          <w:tcPr>
            <w:tcW w:w="7755" w:type="dxa"/>
            <w:shd w:val="clear" w:color="auto" w:fill="auto"/>
            <w:tcMar>
              <w:left w:w="0" w:type="dxa"/>
              <w:right w:w="0" w:type="dxa"/>
            </w:tcMar>
            <w:vAlign w:val="center"/>
            <w:hideMark/>
          </w:tcPr>
          <w:p w:rsidR="00292B2B" w:rsidRPr="00676384" w:rsidRDefault="00292B2B" w:rsidP="00F9624F">
            <w:pPr>
              <w:rPr>
                <w:color w:val="333333"/>
                <w:sz w:val="18"/>
                <w:szCs w:val="18"/>
              </w:rPr>
            </w:pPr>
            <w:r w:rsidRPr="00676384">
              <w:rPr>
                <w:color w:val="333333"/>
                <w:sz w:val="18"/>
                <w:szCs w:val="18"/>
              </w:rPr>
              <w:t>U-6 Total unemployed, plus all persons marginally attached to the labor force, plus total employed part time for economic reasons, as a percent of the civilian labor force plus all persons marginally attached to the labor force</w:t>
            </w:r>
          </w:p>
        </w:tc>
        <w:tc>
          <w:tcPr>
            <w:tcW w:w="900" w:type="dxa"/>
            <w:tcMar>
              <w:left w:w="0" w:type="dxa"/>
              <w:right w:w="0" w:type="dxa"/>
            </w:tcMar>
            <w:vAlign w:val="center"/>
          </w:tcPr>
          <w:p w:rsidR="00292B2B" w:rsidRPr="00676384" w:rsidRDefault="00292B2B" w:rsidP="00F9624F">
            <w:pPr>
              <w:jc w:val="center"/>
              <w:rPr>
                <w:color w:val="000000"/>
                <w:sz w:val="18"/>
                <w:szCs w:val="18"/>
              </w:rPr>
            </w:pPr>
            <w:r w:rsidRPr="00676384">
              <w:rPr>
                <w:color w:val="000000"/>
                <w:sz w:val="18"/>
                <w:szCs w:val="18"/>
              </w:rPr>
              <w:t>12.7</w:t>
            </w:r>
          </w:p>
        </w:tc>
        <w:tc>
          <w:tcPr>
            <w:tcW w:w="900" w:type="dxa"/>
            <w:shd w:val="clear" w:color="auto" w:fill="auto"/>
            <w:tcMar>
              <w:left w:w="0" w:type="dxa"/>
              <w:right w:w="0" w:type="dxa"/>
            </w:tcMar>
            <w:vAlign w:val="center"/>
          </w:tcPr>
          <w:p w:rsidR="00292B2B" w:rsidRPr="00676384" w:rsidRDefault="00292B2B" w:rsidP="00F9624F">
            <w:pPr>
              <w:jc w:val="center"/>
              <w:rPr>
                <w:color w:val="000000"/>
                <w:sz w:val="18"/>
                <w:szCs w:val="18"/>
              </w:rPr>
            </w:pPr>
            <w:r>
              <w:rPr>
                <w:color w:val="000000"/>
                <w:sz w:val="18"/>
                <w:szCs w:val="18"/>
              </w:rPr>
              <w:t>11.3</w:t>
            </w:r>
          </w:p>
        </w:tc>
      </w:tr>
      <w:tr w:rsidR="00292B2B" w:rsidRPr="00676384" w:rsidTr="00292B2B">
        <w:trPr>
          <w:trHeight w:val="1033"/>
        </w:trPr>
        <w:tc>
          <w:tcPr>
            <w:tcW w:w="9555" w:type="dxa"/>
            <w:gridSpan w:val="3"/>
            <w:tcMar>
              <w:left w:w="0" w:type="dxa"/>
              <w:right w:w="0" w:type="dxa"/>
            </w:tcMar>
          </w:tcPr>
          <w:p w:rsidR="00292B2B" w:rsidRPr="00676384" w:rsidRDefault="00292B2B" w:rsidP="00F9624F">
            <w:pPr>
              <w:rPr>
                <w:i/>
                <w:iCs/>
                <w:color w:val="333333"/>
                <w:sz w:val="16"/>
                <w:szCs w:val="16"/>
              </w:rPr>
            </w:pPr>
            <w:r w:rsidRPr="00676384">
              <w:rPr>
                <w:i/>
                <w:iCs/>
                <w:color w:val="333333"/>
                <w:sz w:val="16"/>
                <w:szCs w:val="16"/>
              </w:rPr>
              <w:t>NOTE: Persons marginally attached to the labor force are those who currently are neither working nor looking for work but indicate that they want and are available for a job and have looked for work sometime in the past 12 months. Discouraged workers, a subset of the marginally attached, have given a job-market related reason for not currently looking for work. Persons employed part time for economic reasons are those who want and are available for full-time work but have had to settle for a part-time schedule. Updated population controls are introduced annually with the release of January data. </w:t>
            </w:r>
          </w:p>
        </w:tc>
      </w:tr>
    </w:tbl>
    <w:p w:rsidR="00011B51" w:rsidRDefault="00011B51" w:rsidP="00011B51">
      <w:pPr>
        <w:ind w:left="1980"/>
        <w:jc w:val="both"/>
        <w:rPr>
          <w:sz w:val="28"/>
          <w:szCs w:val="28"/>
        </w:rPr>
      </w:pPr>
      <w:bookmarkStart w:id="0" w:name="_GoBack"/>
      <w:bookmarkEnd w:id="0"/>
    </w:p>
    <w:p w:rsidR="00AE01D7" w:rsidRDefault="003506F1" w:rsidP="003506F1">
      <w:pPr>
        <w:numPr>
          <w:ilvl w:val="0"/>
          <w:numId w:val="4"/>
        </w:numPr>
        <w:jc w:val="both"/>
        <w:rPr>
          <w:sz w:val="28"/>
          <w:szCs w:val="28"/>
        </w:rPr>
      </w:pPr>
      <w:r>
        <w:rPr>
          <w:sz w:val="28"/>
          <w:szCs w:val="28"/>
        </w:rPr>
        <w:lastRenderedPageBreak/>
        <w:t>Types</w:t>
      </w:r>
    </w:p>
    <w:p w:rsidR="003506F1" w:rsidRDefault="003506F1" w:rsidP="003506F1">
      <w:pPr>
        <w:numPr>
          <w:ilvl w:val="1"/>
          <w:numId w:val="4"/>
        </w:numPr>
        <w:jc w:val="both"/>
        <w:rPr>
          <w:sz w:val="28"/>
          <w:szCs w:val="28"/>
        </w:rPr>
      </w:pPr>
      <w:r w:rsidRPr="00AE1CA6">
        <w:rPr>
          <w:i/>
          <w:sz w:val="28"/>
          <w:szCs w:val="28"/>
        </w:rPr>
        <w:t>Frictional</w:t>
      </w:r>
      <w:r w:rsidR="00AE1CA6">
        <w:rPr>
          <w:sz w:val="28"/>
          <w:szCs w:val="28"/>
        </w:rPr>
        <w:t>—this is unemployment that derives from people between jobs. Even when the economy is strong, it takes time for individuals who are changing jobs or for new entrants in the workforce to find their first job. At least some degree of fictional unemployment is inevitable.</w:t>
      </w:r>
    </w:p>
    <w:p w:rsidR="00AE1CA6" w:rsidRDefault="00482BC2" w:rsidP="00AE1CA6">
      <w:pPr>
        <w:numPr>
          <w:ilvl w:val="2"/>
          <w:numId w:val="4"/>
        </w:numPr>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4237990</wp:posOffset>
            </wp:positionH>
            <wp:positionV relativeFrom="paragraph">
              <wp:posOffset>1016000</wp:posOffset>
            </wp:positionV>
            <wp:extent cx="1748790" cy="18649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498" t="3323" r="10281" b="307"/>
                    <a:stretch/>
                  </pic:blipFill>
                  <pic:spPr bwMode="auto">
                    <a:xfrm>
                      <a:off x="0" y="0"/>
                      <a:ext cx="1748790" cy="18649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E1CA6">
        <w:rPr>
          <w:sz w:val="28"/>
          <w:szCs w:val="28"/>
        </w:rPr>
        <w:t>Frictional unemployment occurs because it takes time to match employers with employees. Anything that makes this matching easier or more difficult changes frictional unemployment. For example, the internet makes it easier for a firm to find the right match; frictional unemployment is lower.</w:t>
      </w:r>
    </w:p>
    <w:p w:rsidR="00324BA5" w:rsidRDefault="00324BA5" w:rsidP="00AE1CA6">
      <w:pPr>
        <w:numPr>
          <w:ilvl w:val="2"/>
          <w:numId w:val="4"/>
        </w:numPr>
        <w:jc w:val="both"/>
        <w:rPr>
          <w:sz w:val="28"/>
          <w:szCs w:val="28"/>
        </w:rPr>
      </w:pPr>
      <w:r>
        <w:rPr>
          <w:sz w:val="28"/>
          <w:szCs w:val="28"/>
        </w:rPr>
        <w:t xml:space="preserve">The optimal level of unemployment is thus not 0%. A very low unemployment rate suggests an undesirable level of </w:t>
      </w:r>
      <w:r w:rsidR="00676384">
        <w:rPr>
          <w:sz w:val="28"/>
          <w:szCs w:val="28"/>
        </w:rPr>
        <w:t>rigidity</w:t>
      </w:r>
      <w:r>
        <w:rPr>
          <w:sz w:val="28"/>
          <w:szCs w:val="28"/>
        </w:rPr>
        <w:t>.</w:t>
      </w:r>
    </w:p>
    <w:p w:rsidR="00A467E9" w:rsidRDefault="00A467E9" w:rsidP="00AE1CA6">
      <w:pPr>
        <w:numPr>
          <w:ilvl w:val="2"/>
          <w:numId w:val="4"/>
        </w:numPr>
        <w:jc w:val="both"/>
        <w:rPr>
          <w:sz w:val="28"/>
          <w:szCs w:val="28"/>
        </w:rPr>
      </w:pPr>
      <w:r>
        <w:rPr>
          <w:sz w:val="28"/>
          <w:szCs w:val="28"/>
        </w:rPr>
        <w:t>Most of</w:t>
      </w:r>
      <w:r w:rsidR="00485F87">
        <w:rPr>
          <w:sz w:val="28"/>
          <w:szCs w:val="28"/>
        </w:rPr>
        <w:t xml:space="preserve"> U.S. employment is short term</w:t>
      </w:r>
      <w:r>
        <w:rPr>
          <w:sz w:val="28"/>
          <w:szCs w:val="28"/>
        </w:rPr>
        <w:t>, suggesting that</w:t>
      </w:r>
      <w:r w:rsidR="00482BC2">
        <w:rPr>
          <w:sz w:val="28"/>
          <w:szCs w:val="28"/>
        </w:rPr>
        <w:t xml:space="preserve"> it</w:t>
      </w:r>
      <w:r>
        <w:rPr>
          <w:sz w:val="28"/>
          <w:szCs w:val="28"/>
        </w:rPr>
        <w:t>’s frictional.</w:t>
      </w:r>
      <w:r w:rsidR="00485F87">
        <w:rPr>
          <w:sz w:val="28"/>
          <w:szCs w:val="28"/>
        </w:rPr>
        <w:t xml:space="preserve"> In 2005, 65.5% of the unemployed were unemployed fourteen weeks or less (and 35.1% were unemployed less than five weeks).</w:t>
      </w:r>
    </w:p>
    <w:p w:rsidR="00485F87" w:rsidRDefault="00485F87" w:rsidP="00AE1CA6">
      <w:pPr>
        <w:numPr>
          <w:ilvl w:val="2"/>
          <w:numId w:val="4"/>
        </w:numPr>
        <w:jc w:val="both"/>
        <w:rPr>
          <w:sz w:val="28"/>
          <w:szCs w:val="28"/>
        </w:rPr>
      </w:pPr>
      <w:r>
        <w:rPr>
          <w:sz w:val="28"/>
          <w:szCs w:val="28"/>
        </w:rPr>
        <w:t>The high unemployment rate of recent years is unusual.</w:t>
      </w:r>
      <w:r>
        <w:rPr>
          <w:rStyle w:val="FootnoteReference"/>
          <w:sz w:val="28"/>
          <w:szCs w:val="28"/>
        </w:rPr>
        <w:footnoteReference w:id="2"/>
      </w:r>
    </w:p>
    <w:p w:rsidR="00324BA5" w:rsidRDefault="003506F1" w:rsidP="003506F1">
      <w:pPr>
        <w:numPr>
          <w:ilvl w:val="1"/>
          <w:numId w:val="4"/>
        </w:numPr>
        <w:jc w:val="both"/>
        <w:rPr>
          <w:sz w:val="28"/>
          <w:szCs w:val="28"/>
        </w:rPr>
      </w:pPr>
      <w:r w:rsidRPr="00043C50">
        <w:rPr>
          <w:i/>
          <w:sz w:val="28"/>
          <w:szCs w:val="28"/>
        </w:rPr>
        <w:t>Structural</w:t>
      </w:r>
      <w:r w:rsidR="00AE1CA6">
        <w:rPr>
          <w:sz w:val="28"/>
          <w:szCs w:val="28"/>
        </w:rPr>
        <w:t>—related to frictional unemployment, this kind of unemployment</w:t>
      </w:r>
      <w:r w:rsidR="00324BA5">
        <w:rPr>
          <w:sz w:val="28"/>
          <w:szCs w:val="28"/>
        </w:rPr>
        <w:t xml:space="preserve"> describes workers </w:t>
      </w:r>
      <w:r w:rsidR="009F5D79">
        <w:rPr>
          <w:sz w:val="28"/>
          <w:szCs w:val="28"/>
        </w:rPr>
        <w:t>who are unemployed persistently and for a long period of time</w:t>
      </w:r>
      <w:r w:rsidR="00324BA5">
        <w:rPr>
          <w:sz w:val="28"/>
          <w:szCs w:val="28"/>
        </w:rPr>
        <w:t>.</w:t>
      </w:r>
    </w:p>
    <w:p w:rsidR="003506F1" w:rsidRDefault="009F5D79" w:rsidP="00324BA5">
      <w:pPr>
        <w:numPr>
          <w:ilvl w:val="2"/>
          <w:numId w:val="4"/>
        </w:numPr>
        <w:jc w:val="both"/>
        <w:rPr>
          <w:sz w:val="28"/>
          <w:szCs w:val="28"/>
        </w:rPr>
      </w:pPr>
      <w:r>
        <w:rPr>
          <w:sz w:val="28"/>
          <w:szCs w:val="28"/>
        </w:rPr>
        <w:t>Sometimes</w:t>
      </w:r>
      <w:r w:rsidR="00324BA5">
        <w:rPr>
          <w:sz w:val="28"/>
          <w:szCs w:val="28"/>
        </w:rPr>
        <w:t xml:space="preserve"> this involves a skill mismatch: a new technology might transform what employers want but it takes time for workers to cultivate those skills.</w:t>
      </w:r>
    </w:p>
    <w:p w:rsidR="00324BA5" w:rsidRDefault="00324BA5" w:rsidP="00324BA5">
      <w:pPr>
        <w:numPr>
          <w:ilvl w:val="2"/>
          <w:numId w:val="4"/>
        </w:numPr>
        <w:jc w:val="both"/>
        <w:rPr>
          <w:sz w:val="28"/>
          <w:szCs w:val="28"/>
        </w:rPr>
      </w:pPr>
      <w:r>
        <w:rPr>
          <w:sz w:val="28"/>
          <w:szCs w:val="28"/>
        </w:rPr>
        <w:t xml:space="preserve">It can also involve a geographic mismatch: the oil boom in North Dakota </w:t>
      </w:r>
      <w:r w:rsidR="009E1692">
        <w:rPr>
          <w:sz w:val="28"/>
          <w:szCs w:val="28"/>
        </w:rPr>
        <w:t>led to a labor shortage because so few people lived in the state.</w:t>
      </w:r>
      <w:r w:rsidR="00A467E9">
        <w:rPr>
          <w:rStyle w:val="FootnoteReference"/>
          <w:sz w:val="28"/>
          <w:szCs w:val="28"/>
        </w:rPr>
        <w:footnoteReference w:id="3"/>
      </w:r>
    </w:p>
    <w:p w:rsidR="009F5D79" w:rsidRDefault="00414CA5" w:rsidP="009E1692">
      <w:pPr>
        <w:numPr>
          <w:ilvl w:val="2"/>
          <w:numId w:val="4"/>
        </w:numPr>
        <w:jc w:val="both"/>
        <w:rPr>
          <w:sz w:val="28"/>
          <w:szCs w:val="28"/>
        </w:rPr>
      </w:pPr>
      <w:r>
        <w:rPr>
          <w:sz w:val="28"/>
          <w:szCs w:val="28"/>
        </w:rPr>
        <w:t xml:space="preserve">Labor regulations can also cause this sort of long-term unemployment. Well-meaning laws can pervert incentives. Unemployment benefits functionally pay people to not work. Minimum wage laws decrease the demand for labor. </w:t>
      </w:r>
      <w:r>
        <w:rPr>
          <w:sz w:val="28"/>
          <w:szCs w:val="28"/>
        </w:rPr>
        <w:lastRenderedPageBreak/>
        <w:t xml:space="preserve">Regulations on </w:t>
      </w:r>
      <w:r w:rsidR="00485F87">
        <w:rPr>
          <w:sz w:val="28"/>
          <w:szCs w:val="28"/>
        </w:rPr>
        <w:t>whom</w:t>
      </w:r>
      <w:r w:rsidR="002A5C02">
        <w:rPr>
          <w:sz w:val="28"/>
          <w:szCs w:val="28"/>
        </w:rPr>
        <w:t xml:space="preserve"> and how </w:t>
      </w:r>
      <w:r>
        <w:rPr>
          <w:sz w:val="28"/>
          <w:szCs w:val="28"/>
        </w:rPr>
        <w:t>you can fire make firms hesitant to hire</w:t>
      </w:r>
      <w:r w:rsidR="002A5C02">
        <w:rPr>
          <w:sz w:val="28"/>
          <w:szCs w:val="28"/>
        </w:rPr>
        <w:t xml:space="preserve"> in the first place.</w:t>
      </w:r>
    </w:p>
    <w:p w:rsidR="003506F1" w:rsidRPr="00BB6648" w:rsidRDefault="003506F1" w:rsidP="00BB6648">
      <w:pPr>
        <w:numPr>
          <w:ilvl w:val="1"/>
          <w:numId w:val="4"/>
        </w:numPr>
        <w:jc w:val="both"/>
        <w:rPr>
          <w:sz w:val="28"/>
          <w:szCs w:val="28"/>
        </w:rPr>
      </w:pPr>
      <w:r w:rsidRPr="00BB6648">
        <w:rPr>
          <w:i/>
          <w:sz w:val="28"/>
          <w:szCs w:val="28"/>
        </w:rPr>
        <w:t>Cyclical</w:t>
      </w:r>
      <w:r w:rsidR="00043C50" w:rsidRPr="00BB6648">
        <w:rPr>
          <w:sz w:val="28"/>
          <w:szCs w:val="28"/>
        </w:rPr>
        <w:t xml:space="preserve">—this </w:t>
      </w:r>
      <w:r w:rsidR="004E5B65" w:rsidRPr="00BB6648">
        <w:rPr>
          <w:sz w:val="28"/>
          <w:szCs w:val="28"/>
        </w:rPr>
        <w:t xml:space="preserve">type of unemployment originates from declines in the business cycle and is typically what people think of when they hear “unemployment.” It occurs when many businesses across many sectors cannot justify hiring people due to low demand for their goods or services. </w:t>
      </w:r>
    </w:p>
    <w:p w:rsidR="009E1692" w:rsidRDefault="009806B0" w:rsidP="009E1692">
      <w:pPr>
        <w:numPr>
          <w:ilvl w:val="2"/>
          <w:numId w:val="4"/>
        </w:numPr>
        <w:jc w:val="both"/>
        <w:rPr>
          <w:sz w:val="28"/>
          <w:szCs w:val="28"/>
        </w:rPr>
      </w:pPr>
      <w:r w:rsidRPr="00BB6648">
        <w:rPr>
          <w:sz w:val="28"/>
          <w:szCs w:val="28"/>
        </w:rPr>
        <w:t>The cyclically unemployed are unemployed not because they are undesirable workers or because they haven’t put in enough time to find a job.</w:t>
      </w:r>
    </w:p>
    <w:p w:rsidR="009806B0" w:rsidRDefault="009806B0" w:rsidP="009E1692">
      <w:pPr>
        <w:numPr>
          <w:ilvl w:val="2"/>
          <w:numId w:val="4"/>
        </w:numPr>
        <w:jc w:val="both"/>
        <w:rPr>
          <w:sz w:val="28"/>
          <w:szCs w:val="28"/>
        </w:rPr>
      </w:pPr>
      <w:r>
        <w:rPr>
          <w:sz w:val="28"/>
          <w:szCs w:val="28"/>
        </w:rPr>
        <w:t xml:space="preserve">However, some economists point out there’s a supply solution to this problem (rather than just increasing aggregate demand). Unemployed workers should be willing to accept a lower </w:t>
      </w:r>
      <w:r w:rsidR="00647F18">
        <w:rPr>
          <w:sz w:val="28"/>
          <w:szCs w:val="28"/>
        </w:rPr>
        <w:t>wage than they had in the past, but for whatever reason they hold out</w:t>
      </w:r>
      <w:r w:rsidR="0069591D">
        <w:rPr>
          <w:sz w:val="28"/>
          <w:szCs w:val="28"/>
        </w:rPr>
        <w:t xml:space="preserve"> for something better</w:t>
      </w:r>
      <w:r w:rsidR="00647F18">
        <w:rPr>
          <w:sz w:val="28"/>
          <w:szCs w:val="28"/>
        </w:rPr>
        <w:t>.</w:t>
      </w:r>
      <w:r w:rsidR="0069591D">
        <w:rPr>
          <w:sz w:val="28"/>
          <w:szCs w:val="28"/>
        </w:rPr>
        <w:t xml:space="preserve"> Such persons should be distinct from those who don’t have such an option.</w:t>
      </w:r>
    </w:p>
    <w:p w:rsidR="00892499" w:rsidRDefault="00892499" w:rsidP="00892499">
      <w:pPr>
        <w:numPr>
          <w:ilvl w:val="1"/>
          <w:numId w:val="4"/>
        </w:numPr>
        <w:jc w:val="both"/>
        <w:rPr>
          <w:sz w:val="28"/>
          <w:szCs w:val="28"/>
        </w:rPr>
      </w:pPr>
      <w:r>
        <w:rPr>
          <w:sz w:val="28"/>
          <w:szCs w:val="28"/>
        </w:rPr>
        <w:t xml:space="preserve">The so-called </w:t>
      </w:r>
      <w:r>
        <w:rPr>
          <w:i/>
          <w:sz w:val="28"/>
          <w:szCs w:val="28"/>
        </w:rPr>
        <w:t>natural rate of unemployment</w:t>
      </w:r>
      <w:r>
        <w:rPr>
          <w:sz w:val="28"/>
          <w:szCs w:val="28"/>
        </w:rPr>
        <w:t xml:space="preserve"> is frictional </w:t>
      </w:r>
      <w:r w:rsidR="009F5D79">
        <w:rPr>
          <w:sz w:val="28"/>
          <w:szCs w:val="28"/>
        </w:rPr>
        <w:t>plus</w:t>
      </w:r>
      <w:r>
        <w:rPr>
          <w:sz w:val="28"/>
          <w:szCs w:val="28"/>
        </w:rPr>
        <w:t xml:space="preserve"> structural</w:t>
      </w:r>
      <w:r w:rsidR="009F5D79">
        <w:rPr>
          <w:sz w:val="28"/>
          <w:szCs w:val="28"/>
        </w:rPr>
        <w:t xml:space="preserve"> unemployment</w:t>
      </w:r>
      <w:r>
        <w:rPr>
          <w:sz w:val="28"/>
          <w:szCs w:val="28"/>
        </w:rPr>
        <w:t xml:space="preserve">. This unemployment is unavoidable, </w:t>
      </w:r>
      <w:r w:rsidR="009F5D79">
        <w:rPr>
          <w:sz w:val="28"/>
          <w:szCs w:val="28"/>
        </w:rPr>
        <w:t xml:space="preserve">and </w:t>
      </w:r>
      <w:r w:rsidR="00BB6648">
        <w:rPr>
          <w:sz w:val="28"/>
          <w:szCs w:val="28"/>
        </w:rPr>
        <w:t>can be</w:t>
      </w:r>
      <w:r>
        <w:rPr>
          <w:sz w:val="28"/>
          <w:szCs w:val="28"/>
        </w:rPr>
        <w:t xml:space="preserve"> </w:t>
      </w:r>
      <w:r w:rsidR="009F5D79">
        <w:rPr>
          <w:sz w:val="28"/>
          <w:szCs w:val="28"/>
        </w:rPr>
        <w:t>a good sign</w:t>
      </w:r>
      <w:r>
        <w:rPr>
          <w:sz w:val="28"/>
          <w:szCs w:val="28"/>
        </w:rPr>
        <w:t xml:space="preserve"> in the long run. An economy that never has any structural unemployment </w:t>
      </w:r>
      <w:r w:rsidR="00BB6648">
        <w:rPr>
          <w:sz w:val="28"/>
          <w:szCs w:val="28"/>
        </w:rPr>
        <w:t>because technology never improves is not a good sign</w:t>
      </w:r>
      <w:r>
        <w:rPr>
          <w:sz w:val="28"/>
          <w:szCs w:val="28"/>
        </w:rPr>
        <w:t>.</w:t>
      </w:r>
    </w:p>
    <w:p w:rsidR="00A75561" w:rsidRDefault="00A75561" w:rsidP="00A75561">
      <w:pPr>
        <w:numPr>
          <w:ilvl w:val="2"/>
          <w:numId w:val="4"/>
        </w:numPr>
        <w:jc w:val="both"/>
        <w:rPr>
          <w:sz w:val="28"/>
          <w:szCs w:val="28"/>
        </w:rPr>
      </w:pPr>
      <w:r>
        <w:rPr>
          <w:sz w:val="28"/>
          <w:szCs w:val="28"/>
        </w:rPr>
        <w:t xml:space="preserve">The classical view considers the natural rate as an inevitable sign of an economy in equilibrium; it’s the </w:t>
      </w:r>
      <w:r>
        <w:rPr>
          <w:sz w:val="28"/>
          <w:szCs w:val="28"/>
          <w:u w:val="single"/>
        </w:rPr>
        <w:t>natural</w:t>
      </w:r>
      <w:r>
        <w:rPr>
          <w:sz w:val="28"/>
          <w:szCs w:val="28"/>
        </w:rPr>
        <w:t xml:space="preserve"> result of the market doing its job.</w:t>
      </w:r>
    </w:p>
    <w:p w:rsidR="006B7A4D" w:rsidRDefault="006B7A4D" w:rsidP="00A75561">
      <w:pPr>
        <w:numPr>
          <w:ilvl w:val="2"/>
          <w:numId w:val="4"/>
        </w:numPr>
        <w:jc w:val="both"/>
        <w:rPr>
          <w:sz w:val="28"/>
          <w:szCs w:val="28"/>
        </w:rPr>
      </w:pPr>
      <w:r>
        <w:rPr>
          <w:sz w:val="28"/>
          <w:szCs w:val="28"/>
        </w:rPr>
        <w:t xml:space="preserve">Empirical estimates of the natural rate vary from time period to time period and the estimates are often imprecise. </w:t>
      </w:r>
      <w:r w:rsidR="00992CDD">
        <w:rPr>
          <w:sz w:val="28"/>
          <w:szCs w:val="28"/>
        </w:rPr>
        <w:t>One estimate puts it at 5.5%.</w:t>
      </w:r>
      <w:r w:rsidR="00992CDD">
        <w:rPr>
          <w:rStyle w:val="FootnoteReference"/>
          <w:sz w:val="28"/>
          <w:szCs w:val="28"/>
        </w:rPr>
        <w:footnoteReference w:id="4"/>
      </w:r>
    </w:p>
    <w:p w:rsidR="008D0A90" w:rsidRDefault="008D0A90" w:rsidP="00A75561">
      <w:pPr>
        <w:numPr>
          <w:ilvl w:val="2"/>
          <w:numId w:val="4"/>
        </w:numPr>
        <w:jc w:val="both"/>
        <w:rPr>
          <w:sz w:val="28"/>
          <w:szCs w:val="28"/>
        </w:rPr>
      </w:pPr>
      <w:r>
        <w:rPr>
          <w:sz w:val="28"/>
          <w:szCs w:val="28"/>
        </w:rPr>
        <w:t xml:space="preserve">When the current unemployment level is at the natural rate, we refer to this state as </w:t>
      </w:r>
      <w:r>
        <w:rPr>
          <w:i/>
          <w:sz w:val="28"/>
          <w:szCs w:val="28"/>
        </w:rPr>
        <w:t>full employment</w:t>
      </w:r>
      <w:r>
        <w:rPr>
          <w:sz w:val="28"/>
          <w:szCs w:val="28"/>
        </w:rPr>
        <w:t>.</w:t>
      </w:r>
    </w:p>
    <w:p w:rsidR="00603613" w:rsidRDefault="00603613" w:rsidP="00603613">
      <w:pPr>
        <w:numPr>
          <w:ilvl w:val="0"/>
          <w:numId w:val="4"/>
        </w:numPr>
        <w:jc w:val="both"/>
        <w:rPr>
          <w:sz w:val="28"/>
          <w:szCs w:val="28"/>
        </w:rPr>
      </w:pPr>
      <w:r>
        <w:rPr>
          <w:sz w:val="28"/>
          <w:szCs w:val="28"/>
        </w:rPr>
        <w:t>Consequences of unemployment</w:t>
      </w:r>
    </w:p>
    <w:p w:rsidR="00603613" w:rsidRDefault="00603613" w:rsidP="00603613">
      <w:pPr>
        <w:numPr>
          <w:ilvl w:val="1"/>
          <w:numId w:val="4"/>
        </w:numPr>
        <w:jc w:val="both"/>
        <w:rPr>
          <w:sz w:val="28"/>
          <w:szCs w:val="28"/>
        </w:rPr>
      </w:pPr>
      <w:r>
        <w:rPr>
          <w:sz w:val="28"/>
          <w:szCs w:val="28"/>
        </w:rPr>
        <w:t>Unemployed workers don’t contribute to GDP.</w:t>
      </w:r>
    </w:p>
    <w:p w:rsidR="00603613" w:rsidRDefault="00603613" w:rsidP="00603613">
      <w:pPr>
        <w:numPr>
          <w:ilvl w:val="1"/>
          <w:numId w:val="4"/>
        </w:numPr>
        <w:jc w:val="both"/>
        <w:rPr>
          <w:sz w:val="28"/>
          <w:szCs w:val="28"/>
        </w:rPr>
      </w:pPr>
      <w:r w:rsidRPr="00B168F7">
        <w:rPr>
          <w:sz w:val="28"/>
          <w:szCs w:val="28"/>
        </w:rPr>
        <w:t>The longer you remain unemployed,</w:t>
      </w:r>
      <w:r>
        <w:rPr>
          <w:sz w:val="28"/>
          <w:szCs w:val="28"/>
        </w:rPr>
        <w:t xml:space="preserve"> the harder it is to find a job.</w:t>
      </w:r>
    </w:p>
    <w:p w:rsidR="00603613" w:rsidRPr="000C2AD4" w:rsidRDefault="00603613" w:rsidP="00603613">
      <w:pPr>
        <w:numPr>
          <w:ilvl w:val="1"/>
          <w:numId w:val="4"/>
        </w:numPr>
        <w:jc w:val="both"/>
        <w:rPr>
          <w:sz w:val="28"/>
          <w:szCs w:val="28"/>
        </w:rPr>
      </w:pPr>
      <w:r w:rsidRPr="00B168F7">
        <w:rPr>
          <w:sz w:val="28"/>
          <w:szCs w:val="28"/>
        </w:rPr>
        <w:t>When a person worries about money, it’s hard to think of anything else.</w:t>
      </w:r>
      <w:r>
        <w:rPr>
          <w:rStyle w:val="FootnoteReference"/>
          <w:sz w:val="28"/>
          <w:szCs w:val="28"/>
        </w:rPr>
        <w:footnoteReference w:id="5"/>
      </w:r>
      <w:r>
        <w:rPr>
          <w:sz w:val="28"/>
          <w:szCs w:val="28"/>
        </w:rPr>
        <w:t xml:space="preserve"> In other words, not having a job can lead to many other poor decisions.</w:t>
      </w:r>
    </w:p>
    <w:p w:rsidR="00603613" w:rsidRDefault="00603613" w:rsidP="00603613">
      <w:pPr>
        <w:numPr>
          <w:ilvl w:val="0"/>
          <w:numId w:val="4"/>
        </w:numPr>
        <w:jc w:val="both"/>
        <w:rPr>
          <w:sz w:val="28"/>
          <w:szCs w:val="28"/>
        </w:rPr>
      </w:pPr>
      <w:r>
        <w:rPr>
          <w:sz w:val="28"/>
          <w:szCs w:val="28"/>
        </w:rPr>
        <w:t>Labor Force Participation Rate</w:t>
      </w:r>
    </w:p>
    <w:p w:rsidR="00603613" w:rsidRDefault="00603613" w:rsidP="00603613">
      <w:pPr>
        <w:numPr>
          <w:ilvl w:val="1"/>
          <w:numId w:val="4"/>
        </w:numPr>
        <w:jc w:val="both"/>
        <w:rPr>
          <w:sz w:val="28"/>
          <w:szCs w:val="28"/>
        </w:rPr>
      </w:pPr>
      <w:r>
        <w:rPr>
          <w:sz w:val="28"/>
          <w:szCs w:val="28"/>
        </w:rPr>
        <w:lastRenderedPageBreak/>
        <w:t xml:space="preserve">The </w:t>
      </w:r>
      <w:r w:rsidRPr="005E6278">
        <w:rPr>
          <w:i/>
          <w:sz w:val="28"/>
          <w:szCs w:val="28"/>
        </w:rPr>
        <w:t>labor force participation rate</w:t>
      </w:r>
      <w:r>
        <w:rPr>
          <w:sz w:val="28"/>
          <w:szCs w:val="28"/>
        </w:rPr>
        <w:t xml:space="preserve"> is the percent of the </w:t>
      </w:r>
      <w:proofErr w:type="spellStart"/>
      <w:r>
        <w:rPr>
          <w:sz w:val="28"/>
          <w:szCs w:val="28"/>
        </w:rPr>
        <w:t>noninstitutionalized</w:t>
      </w:r>
      <w:proofErr w:type="spellEnd"/>
      <w:r>
        <w:rPr>
          <w:sz w:val="28"/>
          <w:szCs w:val="28"/>
        </w:rPr>
        <w:t>, civilian, adult population (adults for short) in the workforce.</w:t>
      </w:r>
    </w:p>
    <w:p w:rsidR="00603613" w:rsidRDefault="00603613" w:rsidP="00603613">
      <w:pPr>
        <w:ind w:left="1440"/>
        <w:jc w:val="both"/>
        <w:rPr>
          <w:sz w:val="28"/>
          <w:szCs w:val="28"/>
        </w:rPr>
      </w:pPr>
    </w:p>
    <w:p w:rsidR="00603613" w:rsidRDefault="00603613" w:rsidP="00603613">
      <w:pPr>
        <w:ind w:left="1440"/>
        <w:jc w:val="both"/>
        <w:rPr>
          <w:sz w:val="28"/>
          <w:szCs w:val="28"/>
        </w:rPr>
      </w:pPr>
      <m:oMathPara>
        <m:oMath>
          <m:r>
            <w:rPr>
              <w:rFonts w:ascii="Cambria Math" w:hAnsi="Cambria Math"/>
              <w:sz w:val="28"/>
              <w:szCs w:val="28"/>
            </w:rPr>
            <m:t xml:space="preserve">Labor force participation rate= </m:t>
          </m:r>
          <m:f>
            <m:fPr>
              <m:ctrlPr>
                <w:rPr>
                  <w:rFonts w:ascii="Cambria Math" w:hAnsi="Cambria Math"/>
                  <w:i/>
                  <w:sz w:val="28"/>
                  <w:szCs w:val="28"/>
                </w:rPr>
              </m:ctrlPr>
            </m:fPr>
            <m:num>
              <m:r>
                <w:rPr>
                  <w:rFonts w:ascii="Cambria Math" w:hAnsi="Cambria Math"/>
                  <w:sz w:val="28"/>
                  <w:szCs w:val="28"/>
                </w:rPr>
                <m:t>Labor force</m:t>
              </m:r>
            </m:num>
            <m:den>
              <m:r>
                <w:rPr>
                  <w:rFonts w:ascii="Cambria Math" w:hAnsi="Cambria Math"/>
                  <w:sz w:val="28"/>
                  <w:szCs w:val="28"/>
                </w:rPr>
                <m:t>Adult population</m:t>
              </m:r>
            </m:den>
          </m:f>
          <m:r>
            <w:rPr>
              <w:rFonts w:ascii="Cambria Math" w:hAnsi="Cambria Math"/>
              <w:sz w:val="28"/>
              <w:szCs w:val="28"/>
            </w:rPr>
            <m:t>×100</m:t>
          </m:r>
        </m:oMath>
      </m:oMathPara>
    </w:p>
    <w:p w:rsidR="00603613" w:rsidRDefault="00603613" w:rsidP="00603613">
      <w:pPr>
        <w:ind w:left="1440"/>
        <w:jc w:val="both"/>
        <w:rPr>
          <w:sz w:val="28"/>
          <w:szCs w:val="28"/>
        </w:rPr>
      </w:pPr>
    </w:p>
    <w:p w:rsidR="00603613" w:rsidRDefault="00603613" w:rsidP="00603613">
      <w:pPr>
        <w:numPr>
          <w:ilvl w:val="1"/>
          <w:numId w:val="4"/>
        </w:numPr>
        <w:jc w:val="both"/>
        <w:rPr>
          <w:sz w:val="28"/>
          <w:szCs w:val="28"/>
        </w:rPr>
      </w:pPr>
      <w:r>
        <w:rPr>
          <w:sz w:val="28"/>
          <w:szCs w:val="28"/>
        </w:rPr>
        <w:t>Determinants</w:t>
      </w:r>
    </w:p>
    <w:p w:rsidR="00603613" w:rsidRDefault="00603613" w:rsidP="00603613">
      <w:pPr>
        <w:numPr>
          <w:ilvl w:val="2"/>
          <w:numId w:val="4"/>
        </w:numPr>
        <w:jc w:val="both"/>
        <w:rPr>
          <w:sz w:val="28"/>
          <w:szCs w:val="28"/>
        </w:rPr>
      </w:pPr>
      <w:r w:rsidRPr="00F96A52">
        <w:rPr>
          <w:i/>
          <w:sz w:val="28"/>
          <w:szCs w:val="28"/>
        </w:rPr>
        <w:t>Demographics</w:t>
      </w:r>
      <w:r>
        <w:rPr>
          <w:sz w:val="28"/>
          <w:szCs w:val="28"/>
        </w:rPr>
        <w:t>. Because certain groups are more likely to be interested in working than others, changing demographics change the participation rate. For example, as the baby boomer generation retires, the labor force participation rate falls.</w:t>
      </w:r>
    </w:p>
    <w:p w:rsidR="00603613" w:rsidRDefault="00603613" w:rsidP="00603613">
      <w:pPr>
        <w:numPr>
          <w:ilvl w:val="2"/>
          <w:numId w:val="4"/>
        </w:numPr>
        <w:jc w:val="both"/>
        <w:rPr>
          <w:sz w:val="28"/>
          <w:szCs w:val="28"/>
        </w:rPr>
      </w:pPr>
      <w:r>
        <w:rPr>
          <w:i/>
          <w:sz w:val="28"/>
          <w:szCs w:val="28"/>
        </w:rPr>
        <w:t>Incentives</w:t>
      </w:r>
      <w:r>
        <w:rPr>
          <w:sz w:val="28"/>
          <w:szCs w:val="28"/>
        </w:rPr>
        <w:t>. A host of incentives can change the calculation for if someone participates in the labor force. Some examples:</w:t>
      </w:r>
    </w:p>
    <w:p w:rsidR="00603613" w:rsidRDefault="00603613" w:rsidP="00603613">
      <w:pPr>
        <w:numPr>
          <w:ilvl w:val="3"/>
          <w:numId w:val="4"/>
        </w:numPr>
        <w:jc w:val="both"/>
        <w:rPr>
          <w:sz w:val="28"/>
          <w:szCs w:val="28"/>
        </w:rPr>
      </w:pPr>
      <w:r w:rsidRPr="00027C32">
        <w:rPr>
          <w:sz w:val="28"/>
          <w:szCs w:val="28"/>
          <w:u w:val="single"/>
        </w:rPr>
        <w:t>Bigotry and culture</w:t>
      </w:r>
      <w:r>
        <w:rPr>
          <w:sz w:val="28"/>
          <w:szCs w:val="28"/>
        </w:rPr>
        <w:t>. The rise of feminism contributed to the leap of women in the work force between the 1950s and the 1990s.</w:t>
      </w:r>
    </w:p>
    <w:p w:rsidR="00603613" w:rsidRDefault="00603613" w:rsidP="00603613">
      <w:pPr>
        <w:numPr>
          <w:ilvl w:val="3"/>
          <w:numId w:val="4"/>
        </w:numPr>
        <w:jc w:val="both"/>
        <w:rPr>
          <w:sz w:val="28"/>
          <w:szCs w:val="28"/>
        </w:rPr>
      </w:pPr>
      <w:r>
        <w:rPr>
          <w:sz w:val="28"/>
          <w:szCs w:val="28"/>
          <w:u w:val="single"/>
        </w:rPr>
        <w:t>Economic</w:t>
      </w:r>
      <w:r w:rsidRPr="00027C32">
        <w:rPr>
          <w:sz w:val="28"/>
          <w:szCs w:val="28"/>
          <w:u w:val="single"/>
        </w:rPr>
        <w:t xml:space="preserve"> changes</w:t>
      </w:r>
      <w:r>
        <w:rPr>
          <w:sz w:val="28"/>
          <w:szCs w:val="28"/>
        </w:rPr>
        <w:t>. But so did the changes in the economy, which emphasizes fewer jobs in manufacturing (a male dominated industry) and more jobs in professional industries, such as accounting and law (a female dominated industry).</w:t>
      </w:r>
    </w:p>
    <w:p w:rsidR="00603613" w:rsidRDefault="00603613" w:rsidP="00603613">
      <w:pPr>
        <w:numPr>
          <w:ilvl w:val="3"/>
          <w:numId w:val="4"/>
        </w:numPr>
        <w:jc w:val="both"/>
        <w:rPr>
          <w:sz w:val="28"/>
          <w:szCs w:val="28"/>
        </w:rPr>
      </w:pPr>
      <w:r>
        <w:rPr>
          <w:sz w:val="28"/>
          <w:szCs w:val="28"/>
          <w:u w:val="single"/>
        </w:rPr>
        <w:t>Technological changes</w:t>
      </w:r>
      <w:r>
        <w:rPr>
          <w:sz w:val="28"/>
          <w:szCs w:val="28"/>
        </w:rPr>
        <w:t xml:space="preserve">. Economists </w:t>
      </w:r>
      <w:proofErr w:type="spellStart"/>
      <w:r>
        <w:rPr>
          <w:sz w:val="28"/>
          <w:szCs w:val="28"/>
        </w:rPr>
        <w:t>Goldin</w:t>
      </w:r>
      <w:proofErr w:type="spellEnd"/>
      <w:r>
        <w:rPr>
          <w:sz w:val="28"/>
          <w:szCs w:val="28"/>
        </w:rPr>
        <w:t xml:space="preserve"> and Katz argued the birth control pill lowered the costs to getting an advanced degree for women and </w:t>
      </w:r>
      <w:r>
        <w:rPr>
          <w:i/>
          <w:sz w:val="28"/>
          <w:szCs w:val="28"/>
        </w:rPr>
        <w:t>that</w:t>
      </w:r>
      <w:r>
        <w:rPr>
          <w:sz w:val="28"/>
          <w:szCs w:val="28"/>
        </w:rPr>
        <w:t xml:space="preserve"> contributed to their increased participation.</w:t>
      </w:r>
    </w:p>
    <w:p w:rsidR="00603613" w:rsidRDefault="00603613" w:rsidP="00603613">
      <w:pPr>
        <w:numPr>
          <w:ilvl w:val="3"/>
          <w:numId w:val="4"/>
        </w:numPr>
        <w:jc w:val="both"/>
        <w:rPr>
          <w:sz w:val="28"/>
          <w:szCs w:val="28"/>
        </w:rPr>
      </w:pPr>
      <w:r>
        <w:rPr>
          <w:sz w:val="28"/>
          <w:szCs w:val="28"/>
          <w:u w:val="single"/>
        </w:rPr>
        <w:t>Taxes and benefits</w:t>
      </w:r>
      <w:r>
        <w:rPr>
          <w:sz w:val="28"/>
          <w:szCs w:val="28"/>
        </w:rPr>
        <w:t xml:space="preserve">. In the United States, your Social Security </w:t>
      </w:r>
      <w:proofErr w:type="gramStart"/>
      <w:r>
        <w:rPr>
          <w:sz w:val="28"/>
          <w:szCs w:val="28"/>
        </w:rPr>
        <w:t>are</w:t>
      </w:r>
      <w:proofErr w:type="gramEnd"/>
      <w:r>
        <w:rPr>
          <w:sz w:val="28"/>
          <w:szCs w:val="28"/>
        </w:rPr>
        <w:t xml:space="preserve"> not reduced by your earnings</w:t>
      </w:r>
      <w:r>
        <w:rPr>
          <w:rStyle w:val="FootnoteReference"/>
          <w:sz w:val="28"/>
          <w:szCs w:val="28"/>
        </w:rPr>
        <w:footnoteReference w:id="6"/>
      </w:r>
      <w:r>
        <w:rPr>
          <w:sz w:val="28"/>
          <w:szCs w:val="28"/>
        </w:rPr>
        <w:t xml:space="preserve"> but many countries do not allow workers to also collect a government pension. Thus the labor force participation rate for men aged 55-64 (in 1998) was 68.1%. In countries like the Netherlands, Italy, France, and Belgium it was 46.9%, 43.5%, 41.3%, and 33.9%, respectively.</w:t>
      </w:r>
    </w:p>
    <w:p w:rsidR="00603613" w:rsidRDefault="00603613" w:rsidP="00603613">
      <w:pPr>
        <w:numPr>
          <w:ilvl w:val="1"/>
          <w:numId w:val="4"/>
        </w:numPr>
        <w:jc w:val="both"/>
        <w:rPr>
          <w:sz w:val="28"/>
          <w:szCs w:val="28"/>
        </w:rPr>
      </w:pPr>
      <w:r>
        <w:rPr>
          <w:sz w:val="28"/>
          <w:szCs w:val="28"/>
        </w:rPr>
        <w:t>Unemployment insurance</w:t>
      </w:r>
    </w:p>
    <w:p w:rsidR="00603613" w:rsidRDefault="00603613" w:rsidP="00603613">
      <w:pPr>
        <w:numPr>
          <w:ilvl w:val="2"/>
          <w:numId w:val="4"/>
        </w:numPr>
        <w:jc w:val="both"/>
        <w:rPr>
          <w:sz w:val="28"/>
          <w:szCs w:val="28"/>
        </w:rPr>
      </w:pPr>
      <w:r>
        <w:rPr>
          <w:sz w:val="28"/>
          <w:szCs w:val="28"/>
        </w:rPr>
        <w:t xml:space="preserve">This is a particularly hot topic on the incentives front. When a recession hits employment is typically slow to recover </w:t>
      </w:r>
      <w:r>
        <w:rPr>
          <w:sz w:val="28"/>
          <w:szCs w:val="28"/>
        </w:rPr>
        <w:lastRenderedPageBreak/>
        <w:t>compared to, say, the stock market. That’s because hiring someone is expensive for companies to do and carries a fair amount of risk of hiring the wrong person.</w:t>
      </w:r>
    </w:p>
    <w:p w:rsidR="00603613" w:rsidRDefault="00603613" w:rsidP="00603613">
      <w:pPr>
        <w:numPr>
          <w:ilvl w:val="2"/>
          <w:numId w:val="4"/>
        </w:numPr>
        <w:jc w:val="both"/>
        <w:rPr>
          <w:sz w:val="28"/>
          <w:szCs w:val="28"/>
        </w:rPr>
      </w:pPr>
      <w:r>
        <w:rPr>
          <w:sz w:val="28"/>
          <w:szCs w:val="28"/>
        </w:rPr>
        <w:t>So many governments offer some form of unemployment insurance. As long as you’re not working, the government gives you money based on your previous paychecks (assuming you didn’t quit). That means the government’s paying you to not work, which sounds like a terrible incentive structure:</w:t>
      </w:r>
    </w:p>
    <w:p w:rsidR="00603613" w:rsidRDefault="00603613" w:rsidP="00603613">
      <w:pPr>
        <w:ind w:left="1440"/>
        <w:jc w:val="center"/>
        <w:rPr>
          <w:sz w:val="28"/>
          <w:szCs w:val="28"/>
        </w:rPr>
      </w:pPr>
      <w:r>
        <w:rPr>
          <w:noProof/>
        </w:rPr>
        <w:drawing>
          <wp:inline distT="0" distB="0" distL="0" distR="0">
            <wp:extent cx="5080635" cy="3458845"/>
            <wp:effectExtent l="0" t="0" r="0" b="0"/>
            <wp:docPr id="2" name="Picture 1" descr="http://graphics8.nytimes.com/images/2010/03/16/business/economy/mull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0/03/16/business/economy/mulligan.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635" cy="3458845"/>
                    </a:xfrm>
                    <a:prstGeom prst="rect">
                      <a:avLst/>
                    </a:prstGeom>
                    <a:noFill/>
                    <a:ln>
                      <a:noFill/>
                    </a:ln>
                  </pic:spPr>
                </pic:pic>
              </a:graphicData>
            </a:graphic>
          </wp:inline>
        </w:drawing>
      </w:r>
    </w:p>
    <w:p w:rsidR="00603613" w:rsidRDefault="00603613" w:rsidP="00603613">
      <w:pPr>
        <w:numPr>
          <w:ilvl w:val="2"/>
          <w:numId w:val="4"/>
        </w:numPr>
        <w:jc w:val="both"/>
        <w:rPr>
          <w:sz w:val="28"/>
          <w:szCs w:val="28"/>
        </w:rPr>
      </w:pPr>
      <w:r>
        <w:rPr>
          <w:sz w:val="28"/>
          <w:szCs w:val="28"/>
        </w:rPr>
        <w:t>Taking a long time to find a job could be a good thing. We don’t just want people to have a job, we want a good match. If there’s a lot of structural unemployment, maybe giving people the time they need is the right decision.</w:t>
      </w:r>
    </w:p>
    <w:p w:rsidR="00603613" w:rsidRDefault="00603613" w:rsidP="00603613">
      <w:pPr>
        <w:numPr>
          <w:ilvl w:val="2"/>
          <w:numId w:val="4"/>
        </w:numPr>
        <w:jc w:val="both"/>
        <w:rPr>
          <w:sz w:val="28"/>
          <w:szCs w:val="28"/>
        </w:rPr>
      </w:pPr>
      <w:r>
        <w:rPr>
          <w:sz w:val="28"/>
          <w:szCs w:val="28"/>
        </w:rPr>
        <w:t>Moreover, unemployed people are most likely to spend money which goes back in the economy and could trigger growth. This is a big idea—something we’ll talk more about later—but since it comes up a lot in these conversations about UI, I wanted to mention it here.</w:t>
      </w:r>
    </w:p>
    <w:p w:rsidR="00603613" w:rsidRDefault="00603613" w:rsidP="00603613">
      <w:pPr>
        <w:numPr>
          <w:ilvl w:val="0"/>
          <w:numId w:val="4"/>
        </w:numPr>
        <w:jc w:val="both"/>
        <w:rPr>
          <w:sz w:val="28"/>
          <w:szCs w:val="28"/>
        </w:rPr>
      </w:pPr>
      <w:r>
        <w:rPr>
          <w:sz w:val="28"/>
          <w:szCs w:val="28"/>
        </w:rPr>
        <w:t>Demographics of the unemployed</w:t>
      </w:r>
    </w:p>
    <w:p w:rsidR="00603613" w:rsidRDefault="00603613" w:rsidP="00603613">
      <w:pPr>
        <w:numPr>
          <w:ilvl w:val="1"/>
          <w:numId w:val="4"/>
        </w:numPr>
        <w:jc w:val="both"/>
        <w:rPr>
          <w:sz w:val="28"/>
          <w:szCs w:val="28"/>
        </w:rPr>
      </w:pPr>
      <w:r>
        <w:rPr>
          <w:sz w:val="28"/>
          <w:szCs w:val="28"/>
        </w:rPr>
        <w:t xml:space="preserve">Unemployment affects some groups more than others. Remember the lecture about signaling? People without a high school diploma had 15% unemployment rate in 2009 compared to 5% for those with a B.A. or more. </w:t>
      </w:r>
    </w:p>
    <w:p w:rsidR="00603613" w:rsidRDefault="00603613" w:rsidP="00603613">
      <w:pPr>
        <w:numPr>
          <w:ilvl w:val="1"/>
          <w:numId w:val="4"/>
        </w:numPr>
        <w:jc w:val="both"/>
        <w:rPr>
          <w:sz w:val="28"/>
          <w:szCs w:val="28"/>
        </w:rPr>
      </w:pPr>
      <w:r>
        <w:rPr>
          <w:sz w:val="28"/>
          <w:szCs w:val="28"/>
        </w:rPr>
        <w:t>Other considerations include:</w:t>
      </w:r>
    </w:p>
    <w:p w:rsidR="00603613" w:rsidRDefault="00603613" w:rsidP="00603613">
      <w:pPr>
        <w:numPr>
          <w:ilvl w:val="2"/>
          <w:numId w:val="4"/>
        </w:numPr>
        <w:jc w:val="both"/>
        <w:rPr>
          <w:sz w:val="28"/>
          <w:szCs w:val="28"/>
        </w:rPr>
      </w:pPr>
      <w:r>
        <w:rPr>
          <w:i/>
          <w:sz w:val="28"/>
          <w:szCs w:val="28"/>
        </w:rPr>
        <w:lastRenderedPageBreak/>
        <w:t>Occupation</w:t>
      </w:r>
      <w:r>
        <w:rPr>
          <w:sz w:val="28"/>
          <w:szCs w:val="28"/>
        </w:rPr>
        <w:t>. Some jobs are hurt more by recessions than others. Construction and mining tend to be hit hard, as does manufacturing. Partly this is because such jobs are lower-skilled compared to professionals. But it’s also because of the nature of recessions: people buy fewer capital goods and consumer durables.</w:t>
      </w:r>
    </w:p>
    <w:p w:rsidR="00603613" w:rsidRDefault="00603613" w:rsidP="00603613">
      <w:pPr>
        <w:numPr>
          <w:ilvl w:val="2"/>
          <w:numId w:val="4"/>
        </w:numPr>
        <w:jc w:val="both"/>
        <w:rPr>
          <w:sz w:val="28"/>
          <w:szCs w:val="28"/>
        </w:rPr>
      </w:pPr>
      <w:r>
        <w:rPr>
          <w:i/>
          <w:sz w:val="28"/>
          <w:szCs w:val="28"/>
        </w:rPr>
        <w:t>Age</w:t>
      </w:r>
      <w:r w:rsidRPr="001B76C8">
        <w:rPr>
          <w:sz w:val="28"/>
          <w:szCs w:val="28"/>
        </w:rPr>
        <w:t>.</w:t>
      </w:r>
      <w:r>
        <w:rPr>
          <w:sz w:val="28"/>
          <w:szCs w:val="28"/>
        </w:rPr>
        <w:t xml:space="preserve"> Teenagers have fewer skills, less geographic mobility, and are more likely to quit jobs. They are more likely to be unemployed.</w:t>
      </w:r>
    </w:p>
    <w:p w:rsidR="00603613" w:rsidRDefault="00603613" w:rsidP="00603613">
      <w:pPr>
        <w:numPr>
          <w:ilvl w:val="2"/>
          <w:numId w:val="4"/>
        </w:numPr>
        <w:jc w:val="both"/>
        <w:rPr>
          <w:sz w:val="28"/>
          <w:szCs w:val="28"/>
        </w:rPr>
      </w:pPr>
      <w:r>
        <w:rPr>
          <w:i/>
          <w:sz w:val="28"/>
          <w:szCs w:val="28"/>
        </w:rPr>
        <w:t>Race/ethnicity</w:t>
      </w:r>
      <w:r w:rsidRPr="001B76C8">
        <w:rPr>
          <w:sz w:val="28"/>
          <w:szCs w:val="28"/>
        </w:rPr>
        <w:t>.</w:t>
      </w:r>
      <w:r>
        <w:rPr>
          <w:sz w:val="28"/>
          <w:szCs w:val="28"/>
        </w:rPr>
        <w:t xml:space="preserve"> Unemployment is high among Hispanics and African Americans. Part of this reason is because such groups have lower levels of education. But there is also evidence it’s due to racial discrimination.</w:t>
      </w:r>
    </w:p>
    <w:p w:rsidR="00603613" w:rsidRDefault="00603613" w:rsidP="00603613">
      <w:pPr>
        <w:numPr>
          <w:ilvl w:val="2"/>
          <w:numId w:val="4"/>
        </w:numPr>
        <w:jc w:val="both"/>
        <w:rPr>
          <w:sz w:val="28"/>
          <w:szCs w:val="28"/>
        </w:rPr>
      </w:pPr>
      <w:r>
        <w:rPr>
          <w:i/>
          <w:sz w:val="28"/>
          <w:szCs w:val="28"/>
        </w:rPr>
        <w:t>Gender</w:t>
      </w:r>
      <w:r w:rsidRPr="001B76C8">
        <w:rPr>
          <w:sz w:val="28"/>
          <w:szCs w:val="28"/>
        </w:rPr>
        <w:t>.</w:t>
      </w:r>
      <w:r>
        <w:rPr>
          <w:sz w:val="28"/>
          <w:szCs w:val="28"/>
        </w:rPr>
        <w:t xml:space="preserve"> Typically, the unemployment rate is about the same but in recent years, men have been unemployed more. This is partly due to the work men typically go into: manufacturing and finance, the latter of which was hit really hard by the recent recession.</w:t>
      </w:r>
    </w:p>
    <w:p w:rsidR="00603613" w:rsidRDefault="00603613" w:rsidP="00603613">
      <w:pPr>
        <w:numPr>
          <w:ilvl w:val="2"/>
          <w:numId w:val="4"/>
        </w:numPr>
        <w:jc w:val="both"/>
        <w:rPr>
          <w:sz w:val="28"/>
          <w:szCs w:val="28"/>
        </w:rPr>
      </w:pPr>
      <w:r w:rsidRPr="001B76C8">
        <w:rPr>
          <w:i/>
          <w:sz w:val="28"/>
          <w:szCs w:val="28"/>
        </w:rPr>
        <w:t>Duration.</w:t>
      </w:r>
      <w:r w:rsidRPr="001B76C8">
        <w:rPr>
          <w:sz w:val="28"/>
          <w:szCs w:val="28"/>
        </w:rPr>
        <w:t xml:space="preserve"> </w:t>
      </w:r>
      <w:r>
        <w:rPr>
          <w:sz w:val="28"/>
          <w:szCs w:val="28"/>
        </w:rPr>
        <w:t>As mentioned earlier, the longer you’re out of the labor market, the harder it is to find a job.</w:t>
      </w:r>
    </w:p>
    <w:p w:rsidR="00603613" w:rsidRPr="001B76C8" w:rsidRDefault="00603613" w:rsidP="00603613">
      <w:pPr>
        <w:numPr>
          <w:ilvl w:val="0"/>
          <w:numId w:val="4"/>
        </w:numPr>
        <w:jc w:val="both"/>
        <w:rPr>
          <w:sz w:val="28"/>
          <w:szCs w:val="28"/>
        </w:rPr>
      </w:pPr>
      <w:r w:rsidRPr="001B76C8">
        <w:rPr>
          <w:sz w:val="28"/>
          <w:szCs w:val="28"/>
        </w:rPr>
        <w:t>Other issues</w:t>
      </w:r>
    </w:p>
    <w:p w:rsidR="00603613" w:rsidRDefault="00603613" w:rsidP="00603613">
      <w:pPr>
        <w:numPr>
          <w:ilvl w:val="1"/>
          <w:numId w:val="4"/>
        </w:numPr>
        <w:jc w:val="both"/>
        <w:rPr>
          <w:sz w:val="28"/>
          <w:szCs w:val="28"/>
        </w:rPr>
      </w:pPr>
      <w:r>
        <w:rPr>
          <w:sz w:val="28"/>
          <w:szCs w:val="28"/>
        </w:rPr>
        <w:t xml:space="preserve">JOLTS—the Job Openings and Labor Turnover Survey </w:t>
      </w:r>
      <w:proofErr w:type="gramStart"/>
      <w:r>
        <w:rPr>
          <w:sz w:val="28"/>
          <w:szCs w:val="28"/>
        </w:rPr>
        <w:t>describes</w:t>
      </w:r>
      <w:proofErr w:type="gramEnd"/>
      <w:r>
        <w:rPr>
          <w:sz w:val="28"/>
          <w:szCs w:val="28"/>
        </w:rPr>
        <w:t xml:space="preserve"> the amount of “churn” that goes on in the economy. It tracks job separations and job hires through randomized sample of employers.</w:t>
      </w:r>
    </w:p>
    <w:p w:rsidR="00603613" w:rsidRDefault="00603613" w:rsidP="00603613">
      <w:pPr>
        <w:numPr>
          <w:ilvl w:val="2"/>
          <w:numId w:val="4"/>
        </w:numPr>
        <w:jc w:val="both"/>
        <w:rPr>
          <w:sz w:val="28"/>
          <w:szCs w:val="28"/>
        </w:rPr>
      </w:pPr>
      <w:r>
        <w:rPr>
          <w:sz w:val="28"/>
          <w:szCs w:val="28"/>
        </w:rPr>
        <w:t>The media reports the net amount of jobs gained or lost each month. For example, in December 2013, the U.S. economy added, on net, 75,000</w:t>
      </w:r>
      <w:r>
        <w:rPr>
          <w:rStyle w:val="FootnoteReference"/>
          <w:sz w:val="28"/>
          <w:szCs w:val="28"/>
        </w:rPr>
        <w:footnoteReference w:id="7"/>
      </w:r>
      <w:r>
        <w:rPr>
          <w:sz w:val="28"/>
          <w:szCs w:val="28"/>
        </w:rPr>
        <w:t xml:space="preserve"> nonfarm jobs.</w:t>
      </w:r>
      <w:r>
        <w:rPr>
          <w:rStyle w:val="FootnoteReference"/>
          <w:sz w:val="28"/>
          <w:szCs w:val="28"/>
        </w:rPr>
        <w:footnoteReference w:id="8"/>
      </w:r>
    </w:p>
    <w:p w:rsidR="00603613" w:rsidRDefault="00603613" w:rsidP="00603613">
      <w:pPr>
        <w:numPr>
          <w:ilvl w:val="2"/>
          <w:numId w:val="4"/>
        </w:numPr>
        <w:jc w:val="both"/>
        <w:rPr>
          <w:sz w:val="28"/>
          <w:szCs w:val="28"/>
        </w:rPr>
      </w:pPr>
      <w:r>
        <w:rPr>
          <w:sz w:val="28"/>
          <w:szCs w:val="28"/>
        </w:rPr>
        <w:t xml:space="preserve">But that hides the fact that in December there were about 4.437 </w:t>
      </w:r>
      <w:r>
        <w:rPr>
          <w:i/>
          <w:sz w:val="28"/>
          <w:szCs w:val="28"/>
        </w:rPr>
        <w:t>million</w:t>
      </w:r>
      <w:r>
        <w:rPr>
          <w:sz w:val="28"/>
          <w:szCs w:val="28"/>
        </w:rPr>
        <w:t xml:space="preserve"> hires and about 4.370 </w:t>
      </w:r>
      <w:r>
        <w:rPr>
          <w:i/>
          <w:sz w:val="28"/>
          <w:szCs w:val="28"/>
        </w:rPr>
        <w:t>million</w:t>
      </w:r>
      <w:r>
        <w:rPr>
          <w:sz w:val="28"/>
          <w:szCs w:val="28"/>
        </w:rPr>
        <w:t xml:space="preserve"> job separations.</w:t>
      </w:r>
      <w:r>
        <w:rPr>
          <w:rStyle w:val="FootnoteReference"/>
          <w:sz w:val="28"/>
          <w:szCs w:val="28"/>
        </w:rPr>
        <w:footnoteReference w:id="9"/>
      </w:r>
    </w:p>
    <w:p w:rsidR="00603613" w:rsidRPr="00603613" w:rsidRDefault="00603613" w:rsidP="00603613">
      <w:pPr>
        <w:numPr>
          <w:ilvl w:val="1"/>
          <w:numId w:val="4"/>
        </w:numPr>
        <w:jc w:val="both"/>
        <w:rPr>
          <w:sz w:val="28"/>
          <w:szCs w:val="28"/>
        </w:rPr>
      </w:pPr>
      <w:r>
        <w:rPr>
          <w:sz w:val="28"/>
          <w:szCs w:val="28"/>
        </w:rPr>
        <w:t>System of counting someone as unemployed is becoming irrelevant. People have jobs that are just a cobble of various projects. If you don’t work for a month, that’s not a big deal because it could be a month off.</w:t>
      </w:r>
    </w:p>
    <w:sectPr w:rsidR="00603613" w:rsidRPr="00603613" w:rsidSect="0083137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FBE" w:rsidRDefault="00D74FBE" w:rsidP="008D0ADA">
      <w:r>
        <w:separator/>
      </w:r>
    </w:p>
  </w:endnote>
  <w:endnote w:type="continuationSeparator" w:id="0">
    <w:p w:rsidR="00D74FBE" w:rsidRDefault="00D74FBE"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FBE" w:rsidRDefault="00D74FBE" w:rsidP="008D0ADA">
      <w:r>
        <w:separator/>
      </w:r>
    </w:p>
  </w:footnote>
  <w:footnote w:type="continuationSeparator" w:id="0">
    <w:p w:rsidR="00D74FBE" w:rsidRDefault="00D74FBE" w:rsidP="008D0ADA">
      <w:r>
        <w:continuationSeparator/>
      </w:r>
    </w:p>
  </w:footnote>
  <w:footnote w:id="1">
    <w:p w:rsidR="00D74FBE" w:rsidRDefault="00D74FBE">
      <w:pPr>
        <w:pStyle w:val="FootnoteText"/>
      </w:pPr>
      <w:r>
        <w:rPr>
          <w:rStyle w:val="FootnoteReference"/>
        </w:rPr>
        <w:footnoteRef/>
      </w:r>
      <w:r>
        <w:t xml:space="preserve"> </w:t>
      </w:r>
      <w:r w:rsidRPr="00011B51">
        <w:t>http://www.bls.gov/news.release/empsit.t15.htm</w:t>
      </w:r>
    </w:p>
  </w:footnote>
  <w:footnote w:id="2">
    <w:p w:rsidR="00D74FBE" w:rsidRDefault="00D74FBE">
      <w:pPr>
        <w:pStyle w:val="FootnoteText"/>
      </w:pPr>
      <w:r>
        <w:rPr>
          <w:rStyle w:val="FootnoteReference"/>
        </w:rPr>
        <w:footnoteRef/>
      </w:r>
      <w:r>
        <w:t xml:space="preserve"> </w:t>
      </w:r>
      <w:r w:rsidRPr="00485F87">
        <w:t>http://www.bls.gov/news.release/empsit.t12.htm</w:t>
      </w:r>
    </w:p>
  </w:footnote>
  <w:footnote w:id="3">
    <w:p w:rsidR="00D74FBE" w:rsidRDefault="00D74FBE">
      <w:pPr>
        <w:pStyle w:val="FootnoteText"/>
      </w:pPr>
      <w:r>
        <w:rPr>
          <w:rStyle w:val="FootnoteReference"/>
        </w:rPr>
        <w:footnoteRef/>
      </w:r>
      <w:r>
        <w:t xml:space="preserve"> For more information, see ismyjobinanotherstate.com </w:t>
      </w:r>
    </w:p>
  </w:footnote>
  <w:footnote w:id="4">
    <w:p w:rsidR="00D74FBE" w:rsidRDefault="00D74FBE">
      <w:pPr>
        <w:pStyle w:val="FootnoteText"/>
      </w:pPr>
      <w:r>
        <w:rPr>
          <w:rStyle w:val="FootnoteReference"/>
        </w:rPr>
        <w:footnoteRef/>
      </w:r>
      <w:r>
        <w:t xml:space="preserve"> </w:t>
      </w:r>
      <w:hyperlink r:id="rId1" w:history="1">
        <w:r w:rsidRPr="00A23C43">
          <w:rPr>
            <w:rStyle w:val="Hyperlink"/>
          </w:rPr>
          <w:t>http://research.stlouisfed.org/fred2/series/NROU</w:t>
        </w:r>
      </w:hyperlink>
      <w:r>
        <w:t xml:space="preserve"> </w:t>
      </w:r>
    </w:p>
  </w:footnote>
  <w:footnote w:id="5">
    <w:p w:rsidR="00603613" w:rsidRDefault="00603613" w:rsidP="00603613">
      <w:pPr>
        <w:pStyle w:val="FootnoteText"/>
      </w:pPr>
      <w:r>
        <w:rPr>
          <w:rStyle w:val="FootnoteReference"/>
        </w:rPr>
        <w:footnoteRef/>
      </w:r>
      <w:r>
        <w:t xml:space="preserve"> </w:t>
      </w:r>
      <w:hyperlink r:id="rId2" w:history="1">
        <w:r w:rsidRPr="002E25C3">
          <w:rPr>
            <w:rStyle w:val="Hyperlink"/>
          </w:rPr>
          <w:t>http://www.smithsonianmag.com/smart-news/when-you-dont-have-enough-money-its-hard-to-think-about-anything-else-3162408/</w:t>
        </w:r>
      </w:hyperlink>
      <w:r>
        <w:t xml:space="preserve"> </w:t>
      </w:r>
    </w:p>
  </w:footnote>
  <w:footnote w:id="6">
    <w:p w:rsidR="00603613" w:rsidRDefault="00603613" w:rsidP="00603613">
      <w:pPr>
        <w:pStyle w:val="FootnoteText"/>
      </w:pPr>
      <w:r>
        <w:rPr>
          <w:rStyle w:val="FootnoteReference"/>
        </w:rPr>
        <w:footnoteRef/>
      </w:r>
      <w:r>
        <w:t xml:space="preserve"> Between the ages of 62 and 65, there is a reduction of payments if you are working but starting at 65, your payments are increased by about the same amount so the overall work penalty is roughly zero.</w:t>
      </w:r>
    </w:p>
  </w:footnote>
  <w:footnote w:id="7">
    <w:p w:rsidR="00603613" w:rsidRDefault="00603613" w:rsidP="00603613">
      <w:pPr>
        <w:pStyle w:val="FootnoteText"/>
      </w:pPr>
      <w:r>
        <w:rPr>
          <w:rStyle w:val="FootnoteReference"/>
        </w:rPr>
        <w:footnoteRef/>
      </w:r>
      <w:r>
        <w:t xml:space="preserve"> </w:t>
      </w:r>
      <w:hyperlink r:id="rId3" w:history="1">
        <w:r w:rsidRPr="0082513B">
          <w:rPr>
            <w:rStyle w:val="Hyperlink"/>
          </w:rPr>
          <w:t>http://www.bls.gov/news.release/pdf/empsit.pdf</w:t>
        </w:r>
      </w:hyperlink>
      <w:r>
        <w:t xml:space="preserve"> </w:t>
      </w:r>
    </w:p>
  </w:footnote>
  <w:footnote w:id="8">
    <w:p w:rsidR="00603613" w:rsidRDefault="00603613" w:rsidP="00603613">
      <w:pPr>
        <w:pStyle w:val="FootnoteText"/>
      </w:pPr>
      <w:r>
        <w:rPr>
          <w:rStyle w:val="FootnoteReference"/>
        </w:rPr>
        <w:footnoteRef/>
      </w:r>
      <w:r>
        <w:t xml:space="preserve"> The BLS excludes farm jobs because it did when it started keeping track of these numbers back in 1915 (when it would have been really costly to collect such data). They keep excluding to allow comparison across time periods. Since farming is a small part of the U.S. economy, it likely makes little difference. </w:t>
      </w:r>
    </w:p>
  </w:footnote>
  <w:footnote w:id="9">
    <w:p w:rsidR="00603613" w:rsidRDefault="00603613" w:rsidP="00603613">
      <w:pPr>
        <w:pStyle w:val="FootnoteText"/>
      </w:pPr>
      <w:r>
        <w:rPr>
          <w:rStyle w:val="FootnoteReference"/>
        </w:rPr>
        <w:footnoteRef/>
      </w:r>
      <w:r>
        <w:t xml:space="preserve"> </w:t>
      </w:r>
      <w:hyperlink r:id="rId4" w:history="1">
        <w:r w:rsidRPr="0082513B">
          <w:rPr>
            <w:rStyle w:val="Hyperlink"/>
          </w:rPr>
          <w:t>http://www.bls.gov/jlt/data.htm</w:t>
        </w:r>
      </w:hyperlink>
      <w:r>
        <w:t xml:space="preserve">; note the difference between 4.44 million and 4.37 million is 67,000, not 75,000. This discrepancy is likely caused by slightly different methods of data collection and re-evaluations. Sometimes the JOLTS numbers suggest there </w:t>
      </w:r>
      <w:proofErr w:type="gramStart"/>
      <w:r>
        <w:t>is</w:t>
      </w:r>
      <w:proofErr w:type="gramEnd"/>
      <w:r>
        <w:t xml:space="preserve"> more net jobs added than the and sometime it suggests there is less.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30C2"/>
    <w:rsid w:val="000071D4"/>
    <w:rsid w:val="00011B51"/>
    <w:rsid w:val="00013FBF"/>
    <w:rsid w:val="00015A8F"/>
    <w:rsid w:val="000171A2"/>
    <w:rsid w:val="00021DE7"/>
    <w:rsid w:val="000223E7"/>
    <w:rsid w:val="00022F71"/>
    <w:rsid w:val="0002347C"/>
    <w:rsid w:val="00025960"/>
    <w:rsid w:val="000266D3"/>
    <w:rsid w:val="00043C50"/>
    <w:rsid w:val="00044949"/>
    <w:rsid w:val="000474FD"/>
    <w:rsid w:val="000546F9"/>
    <w:rsid w:val="00054A7F"/>
    <w:rsid w:val="00071FF8"/>
    <w:rsid w:val="00080E5E"/>
    <w:rsid w:val="000814C8"/>
    <w:rsid w:val="00085064"/>
    <w:rsid w:val="0008713C"/>
    <w:rsid w:val="0008730A"/>
    <w:rsid w:val="00092F13"/>
    <w:rsid w:val="00093B50"/>
    <w:rsid w:val="000949B0"/>
    <w:rsid w:val="000B5B5E"/>
    <w:rsid w:val="000C41DA"/>
    <w:rsid w:val="000E1606"/>
    <w:rsid w:val="000F23E2"/>
    <w:rsid w:val="000F5D17"/>
    <w:rsid w:val="00101E32"/>
    <w:rsid w:val="001047B1"/>
    <w:rsid w:val="0010697E"/>
    <w:rsid w:val="00107236"/>
    <w:rsid w:val="0011105C"/>
    <w:rsid w:val="00126389"/>
    <w:rsid w:val="00131B9A"/>
    <w:rsid w:val="00143E8E"/>
    <w:rsid w:val="001442E1"/>
    <w:rsid w:val="0015766D"/>
    <w:rsid w:val="00183635"/>
    <w:rsid w:val="001876AA"/>
    <w:rsid w:val="00191C8D"/>
    <w:rsid w:val="001A1635"/>
    <w:rsid w:val="001A6F2B"/>
    <w:rsid w:val="001B409E"/>
    <w:rsid w:val="001B6831"/>
    <w:rsid w:val="001B7AD5"/>
    <w:rsid w:val="001E686C"/>
    <w:rsid w:val="002124DD"/>
    <w:rsid w:val="00214B9B"/>
    <w:rsid w:val="0021548C"/>
    <w:rsid w:val="00220C27"/>
    <w:rsid w:val="00221C16"/>
    <w:rsid w:val="002227C2"/>
    <w:rsid w:val="00230AD3"/>
    <w:rsid w:val="0023223C"/>
    <w:rsid w:val="0024395A"/>
    <w:rsid w:val="002475C1"/>
    <w:rsid w:val="0027341C"/>
    <w:rsid w:val="00273A8B"/>
    <w:rsid w:val="00274894"/>
    <w:rsid w:val="0027729B"/>
    <w:rsid w:val="00284FB0"/>
    <w:rsid w:val="00291FE1"/>
    <w:rsid w:val="00292B2B"/>
    <w:rsid w:val="0029497B"/>
    <w:rsid w:val="002A1457"/>
    <w:rsid w:val="002A5C02"/>
    <w:rsid w:val="002C0AEA"/>
    <w:rsid w:val="002C394F"/>
    <w:rsid w:val="002C433F"/>
    <w:rsid w:val="002D7773"/>
    <w:rsid w:val="002F4714"/>
    <w:rsid w:val="002F6904"/>
    <w:rsid w:val="003015F9"/>
    <w:rsid w:val="0030575F"/>
    <w:rsid w:val="00321845"/>
    <w:rsid w:val="003225D1"/>
    <w:rsid w:val="00322F14"/>
    <w:rsid w:val="00324BA5"/>
    <w:rsid w:val="0032558A"/>
    <w:rsid w:val="00327BAD"/>
    <w:rsid w:val="003324EC"/>
    <w:rsid w:val="00332520"/>
    <w:rsid w:val="00343B5F"/>
    <w:rsid w:val="00345E03"/>
    <w:rsid w:val="0034684A"/>
    <w:rsid w:val="0034727F"/>
    <w:rsid w:val="003506F1"/>
    <w:rsid w:val="00351FB1"/>
    <w:rsid w:val="00356CC1"/>
    <w:rsid w:val="00362276"/>
    <w:rsid w:val="00365D10"/>
    <w:rsid w:val="00374271"/>
    <w:rsid w:val="00375313"/>
    <w:rsid w:val="00381120"/>
    <w:rsid w:val="003824EC"/>
    <w:rsid w:val="00392697"/>
    <w:rsid w:val="003933FE"/>
    <w:rsid w:val="003A0014"/>
    <w:rsid w:val="003A07AF"/>
    <w:rsid w:val="003A20A3"/>
    <w:rsid w:val="003A24E0"/>
    <w:rsid w:val="003A2701"/>
    <w:rsid w:val="003A2FEA"/>
    <w:rsid w:val="003D4C85"/>
    <w:rsid w:val="003D5264"/>
    <w:rsid w:val="003F1F09"/>
    <w:rsid w:val="003F3490"/>
    <w:rsid w:val="00401F8B"/>
    <w:rsid w:val="00406C34"/>
    <w:rsid w:val="00410616"/>
    <w:rsid w:val="00414CA5"/>
    <w:rsid w:val="00416EE3"/>
    <w:rsid w:val="00420612"/>
    <w:rsid w:val="00423FFC"/>
    <w:rsid w:val="004343BD"/>
    <w:rsid w:val="00434E54"/>
    <w:rsid w:val="004412CC"/>
    <w:rsid w:val="0044253E"/>
    <w:rsid w:val="00450958"/>
    <w:rsid w:val="00451313"/>
    <w:rsid w:val="004514B8"/>
    <w:rsid w:val="004533B3"/>
    <w:rsid w:val="00482BC2"/>
    <w:rsid w:val="0048489C"/>
    <w:rsid w:val="00485F87"/>
    <w:rsid w:val="004953C1"/>
    <w:rsid w:val="004A317D"/>
    <w:rsid w:val="004A4E1B"/>
    <w:rsid w:val="004A5425"/>
    <w:rsid w:val="004A6878"/>
    <w:rsid w:val="004A703E"/>
    <w:rsid w:val="004D465F"/>
    <w:rsid w:val="004E1265"/>
    <w:rsid w:val="004E4946"/>
    <w:rsid w:val="004E4C74"/>
    <w:rsid w:val="004E5B65"/>
    <w:rsid w:val="00501750"/>
    <w:rsid w:val="0050428C"/>
    <w:rsid w:val="00504DB3"/>
    <w:rsid w:val="005270F8"/>
    <w:rsid w:val="00527EBA"/>
    <w:rsid w:val="00532971"/>
    <w:rsid w:val="005359CE"/>
    <w:rsid w:val="00541175"/>
    <w:rsid w:val="005444F5"/>
    <w:rsid w:val="005511CC"/>
    <w:rsid w:val="00556826"/>
    <w:rsid w:val="005573A7"/>
    <w:rsid w:val="00562220"/>
    <w:rsid w:val="00564AF0"/>
    <w:rsid w:val="00564E3C"/>
    <w:rsid w:val="005657DB"/>
    <w:rsid w:val="00566289"/>
    <w:rsid w:val="005A544E"/>
    <w:rsid w:val="005B1053"/>
    <w:rsid w:val="005C55C2"/>
    <w:rsid w:val="005C65F9"/>
    <w:rsid w:val="005D5880"/>
    <w:rsid w:val="005E514F"/>
    <w:rsid w:val="005E6278"/>
    <w:rsid w:val="005E6F5E"/>
    <w:rsid w:val="005F0166"/>
    <w:rsid w:val="005F1832"/>
    <w:rsid w:val="005F2069"/>
    <w:rsid w:val="005F25E5"/>
    <w:rsid w:val="005F3389"/>
    <w:rsid w:val="005F3628"/>
    <w:rsid w:val="00603613"/>
    <w:rsid w:val="00607470"/>
    <w:rsid w:val="0061283A"/>
    <w:rsid w:val="00635CAE"/>
    <w:rsid w:val="00645158"/>
    <w:rsid w:val="00647705"/>
    <w:rsid w:val="00647F18"/>
    <w:rsid w:val="00651BE5"/>
    <w:rsid w:val="00652150"/>
    <w:rsid w:val="00660AA4"/>
    <w:rsid w:val="00661387"/>
    <w:rsid w:val="00663D91"/>
    <w:rsid w:val="00672C36"/>
    <w:rsid w:val="00676384"/>
    <w:rsid w:val="006777BF"/>
    <w:rsid w:val="00680AA0"/>
    <w:rsid w:val="00683CE2"/>
    <w:rsid w:val="006861A9"/>
    <w:rsid w:val="006953BF"/>
    <w:rsid w:val="0069583E"/>
    <w:rsid w:val="0069591D"/>
    <w:rsid w:val="0069732F"/>
    <w:rsid w:val="00697419"/>
    <w:rsid w:val="006A0B2F"/>
    <w:rsid w:val="006B06BA"/>
    <w:rsid w:val="006B3BE8"/>
    <w:rsid w:val="006B7A4D"/>
    <w:rsid w:val="006C45B6"/>
    <w:rsid w:val="006D11EB"/>
    <w:rsid w:val="006D1BBE"/>
    <w:rsid w:val="006D2530"/>
    <w:rsid w:val="006D2A32"/>
    <w:rsid w:val="006D2F6F"/>
    <w:rsid w:val="006F7831"/>
    <w:rsid w:val="00701CE2"/>
    <w:rsid w:val="007065EA"/>
    <w:rsid w:val="00713684"/>
    <w:rsid w:val="0071518C"/>
    <w:rsid w:val="0071550D"/>
    <w:rsid w:val="00727A7D"/>
    <w:rsid w:val="00727FD4"/>
    <w:rsid w:val="007313D8"/>
    <w:rsid w:val="00731993"/>
    <w:rsid w:val="00745F30"/>
    <w:rsid w:val="0074601E"/>
    <w:rsid w:val="007528CB"/>
    <w:rsid w:val="0077502A"/>
    <w:rsid w:val="00776D0A"/>
    <w:rsid w:val="007912D9"/>
    <w:rsid w:val="00793DD5"/>
    <w:rsid w:val="007A024A"/>
    <w:rsid w:val="007A225C"/>
    <w:rsid w:val="007B50F7"/>
    <w:rsid w:val="007C43C4"/>
    <w:rsid w:val="007D2E94"/>
    <w:rsid w:val="007D39C6"/>
    <w:rsid w:val="007D5964"/>
    <w:rsid w:val="007D60E0"/>
    <w:rsid w:val="00815471"/>
    <w:rsid w:val="00820B43"/>
    <w:rsid w:val="0082225C"/>
    <w:rsid w:val="0083137F"/>
    <w:rsid w:val="00833B27"/>
    <w:rsid w:val="0083746B"/>
    <w:rsid w:val="008435EE"/>
    <w:rsid w:val="00867345"/>
    <w:rsid w:val="008673CF"/>
    <w:rsid w:val="00867DDC"/>
    <w:rsid w:val="00881138"/>
    <w:rsid w:val="00883114"/>
    <w:rsid w:val="00883394"/>
    <w:rsid w:val="0089189C"/>
    <w:rsid w:val="00892499"/>
    <w:rsid w:val="0089359A"/>
    <w:rsid w:val="008A282F"/>
    <w:rsid w:val="008A285B"/>
    <w:rsid w:val="008A38B5"/>
    <w:rsid w:val="008A3F4F"/>
    <w:rsid w:val="008A5906"/>
    <w:rsid w:val="008C6106"/>
    <w:rsid w:val="008D0A90"/>
    <w:rsid w:val="008D0ADA"/>
    <w:rsid w:val="008D2DB0"/>
    <w:rsid w:val="008D59D5"/>
    <w:rsid w:val="008F20E0"/>
    <w:rsid w:val="008F344F"/>
    <w:rsid w:val="008F5B7A"/>
    <w:rsid w:val="008F6F29"/>
    <w:rsid w:val="00905C44"/>
    <w:rsid w:val="00913361"/>
    <w:rsid w:val="00914A59"/>
    <w:rsid w:val="00931F21"/>
    <w:rsid w:val="009364EE"/>
    <w:rsid w:val="00955DC6"/>
    <w:rsid w:val="00956935"/>
    <w:rsid w:val="009576D7"/>
    <w:rsid w:val="009617DE"/>
    <w:rsid w:val="00962E7A"/>
    <w:rsid w:val="009744A0"/>
    <w:rsid w:val="0097653A"/>
    <w:rsid w:val="009806B0"/>
    <w:rsid w:val="00981CCE"/>
    <w:rsid w:val="00992CDD"/>
    <w:rsid w:val="009A1D5C"/>
    <w:rsid w:val="009B10A7"/>
    <w:rsid w:val="009B1AA6"/>
    <w:rsid w:val="009C09E3"/>
    <w:rsid w:val="009C2703"/>
    <w:rsid w:val="009C4A65"/>
    <w:rsid w:val="009C718C"/>
    <w:rsid w:val="009D585C"/>
    <w:rsid w:val="009D7FBB"/>
    <w:rsid w:val="009E1692"/>
    <w:rsid w:val="009E2D37"/>
    <w:rsid w:val="009E360F"/>
    <w:rsid w:val="009E3FE5"/>
    <w:rsid w:val="009F5D79"/>
    <w:rsid w:val="009F61AE"/>
    <w:rsid w:val="00A00465"/>
    <w:rsid w:val="00A03E3A"/>
    <w:rsid w:val="00A13CEC"/>
    <w:rsid w:val="00A271BE"/>
    <w:rsid w:val="00A37086"/>
    <w:rsid w:val="00A43F5D"/>
    <w:rsid w:val="00A467E9"/>
    <w:rsid w:val="00A50882"/>
    <w:rsid w:val="00A75561"/>
    <w:rsid w:val="00A75A43"/>
    <w:rsid w:val="00A774DE"/>
    <w:rsid w:val="00A91B4E"/>
    <w:rsid w:val="00A91E7C"/>
    <w:rsid w:val="00A91F25"/>
    <w:rsid w:val="00A9444C"/>
    <w:rsid w:val="00AB0468"/>
    <w:rsid w:val="00AB33EB"/>
    <w:rsid w:val="00AC25DB"/>
    <w:rsid w:val="00AC3BA5"/>
    <w:rsid w:val="00AD79EF"/>
    <w:rsid w:val="00AE01D7"/>
    <w:rsid w:val="00AE1CA6"/>
    <w:rsid w:val="00AF398A"/>
    <w:rsid w:val="00B44A21"/>
    <w:rsid w:val="00B51CE3"/>
    <w:rsid w:val="00B61CF9"/>
    <w:rsid w:val="00B64976"/>
    <w:rsid w:val="00B667A3"/>
    <w:rsid w:val="00B875FB"/>
    <w:rsid w:val="00BA5C79"/>
    <w:rsid w:val="00BB2075"/>
    <w:rsid w:val="00BB6648"/>
    <w:rsid w:val="00BC51FD"/>
    <w:rsid w:val="00BC625A"/>
    <w:rsid w:val="00BD075E"/>
    <w:rsid w:val="00BD2A6D"/>
    <w:rsid w:val="00BD302A"/>
    <w:rsid w:val="00BD7431"/>
    <w:rsid w:val="00BF0741"/>
    <w:rsid w:val="00BF59E5"/>
    <w:rsid w:val="00C07E4E"/>
    <w:rsid w:val="00C155D2"/>
    <w:rsid w:val="00C2289A"/>
    <w:rsid w:val="00C2539D"/>
    <w:rsid w:val="00C30862"/>
    <w:rsid w:val="00C342EB"/>
    <w:rsid w:val="00C4412C"/>
    <w:rsid w:val="00C44598"/>
    <w:rsid w:val="00C45B24"/>
    <w:rsid w:val="00C477A3"/>
    <w:rsid w:val="00C5306A"/>
    <w:rsid w:val="00C71107"/>
    <w:rsid w:val="00C866B4"/>
    <w:rsid w:val="00C913C5"/>
    <w:rsid w:val="00C92D74"/>
    <w:rsid w:val="00CB0493"/>
    <w:rsid w:val="00CC2025"/>
    <w:rsid w:val="00CC326E"/>
    <w:rsid w:val="00CD2CA3"/>
    <w:rsid w:val="00CD741C"/>
    <w:rsid w:val="00CD746D"/>
    <w:rsid w:val="00CF5BD3"/>
    <w:rsid w:val="00CF6CF4"/>
    <w:rsid w:val="00CF73AC"/>
    <w:rsid w:val="00CF7464"/>
    <w:rsid w:val="00D02F88"/>
    <w:rsid w:val="00D128CE"/>
    <w:rsid w:val="00D15D56"/>
    <w:rsid w:val="00D215CD"/>
    <w:rsid w:val="00D22AE9"/>
    <w:rsid w:val="00D31342"/>
    <w:rsid w:val="00D5244F"/>
    <w:rsid w:val="00D6443A"/>
    <w:rsid w:val="00D741CC"/>
    <w:rsid w:val="00D746FC"/>
    <w:rsid w:val="00D74FBE"/>
    <w:rsid w:val="00D75D79"/>
    <w:rsid w:val="00D82BCA"/>
    <w:rsid w:val="00D941A7"/>
    <w:rsid w:val="00DA2B09"/>
    <w:rsid w:val="00DA5809"/>
    <w:rsid w:val="00DB36FD"/>
    <w:rsid w:val="00DC2053"/>
    <w:rsid w:val="00DC2712"/>
    <w:rsid w:val="00DC4221"/>
    <w:rsid w:val="00DC5C35"/>
    <w:rsid w:val="00DD1D04"/>
    <w:rsid w:val="00DD5129"/>
    <w:rsid w:val="00DD7664"/>
    <w:rsid w:val="00DE7CED"/>
    <w:rsid w:val="00DF07BF"/>
    <w:rsid w:val="00E003F5"/>
    <w:rsid w:val="00E010EF"/>
    <w:rsid w:val="00E05485"/>
    <w:rsid w:val="00E1018E"/>
    <w:rsid w:val="00E14E1B"/>
    <w:rsid w:val="00E26695"/>
    <w:rsid w:val="00E4081E"/>
    <w:rsid w:val="00E436FB"/>
    <w:rsid w:val="00E55A25"/>
    <w:rsid w:val="00E70F92"/>
    <w:rsid w:val="00E7155D"/>
    <w:rsid w:val="00E737F3"/>
    <w:rsid w:val="00E82D66"/>
    <w:rsid w:val="00E82E67"/>
    <w:rsid w:val="00E845F2"/>
    <w:rsid w:val="00E87F3D"/>
    <w:rsid w:val="00E91D09"/>
    <w:rsid w:val="00EA605A"/>
    <w:rsid w:val="00EA6193"/>
    <w:rsid w:val="00EB4587"/>
    <w:rsid w:val="00ED1EFD"/>
    <w:rsid w:val="00ED2DB2"/>
    <w:rsid w:val="00EE0AE2"/>
    <w:rsid w:val="00EF017C"/>
    <w:rsid w:val="00EF7BBB"/>
    <w:rsid w:val="00F02C9D"/>
    <w:rsid w:val="00F1609A"/>
    <w:rsid w:val="00F2100D"/>
    <w:rsid w:val="00F24711"/>
    <w:rsid w:val="00F2775A"/>
    <w:rsid w:val="00F36A78"/>
    <w:rsid w:val="00F42D25"/>
    <w:rsid w:val="00F47E3B"/>
    <w:rsid w:val="00F62034"/>
    <w:rsid w:val="00F72EBD"/>
    <w:rsid w:val="00F9103D"/>
    <w:rsid w:val="00F97FEE"/>
    <w:rsid w:val="00FB1D87"/>
    <w:rsid w:val="00FB1E9F"/>
    <w:rsid w:val="00FB3663"/>
    <w:rsid w:val="00FB55A3"/>
    <w:rsid w:val="00FC735A"/>
    <w:rsid w:val="00FC7650"/>
    <w:rsid w:val="00FF0B5A"/>
    <w:rsid w:val="00FF0D7F"/>
    <w:rsid w:val="00FF1AA7"/>
    <w:rsid w:val="00FF5CBE"/>
    <w:rsid w:val="00FF6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customStyle="1" w:styleId="apple-style-span">
    <w:name w:val="apple-style-span"/>
    <w:basedOn w:val="DefaultParagraphFont"/>
    <w:rsid w:val="0089189C"/>
    <w:rPr>
      <w:rFonts w:cs="Times New Roman"/>
    </w:rPr>
  </w:style>
  <w:style w:type="character" w:customStyle="1" w:styleId="apple-converted-space">
    <w:name w:val="apple-converted-space"/>
    <w:basedOn w:val="DefaultParagraphFont"/>
    <w:rsid w:val="0089189C"/>
    <w:rPr>
      <w:rFonts w:cs="Times New Roman"/>
    </w:rPr>
  </w:style>
  <w:style w:type="character" w:styleId="Hyperlink">
    <w:name w:val="Hyperlink"/>
    <w:basedOn w:val="DefaultParagraphFont"/>
    <w:uiPriority w:val="99"/>
    <w:unhideWhenUsed/>
    <w:rsid w:val="008918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827175">
      <w:bodyDiv w:val="1"/>
      <w:marLeft w:val="0"/>
      <w:marRight w:val="0"/>
      <w:marTop w:val="0"/>
      <w:marBottom w:val="0"/>
      <w:divBdr>
        <w:top w:val="none" w:sz="0" w:space="0" w:color="auto"/>
        <w:left w:val="none" w:sz="0" w:space="0" w:color="auto"/>
        <w:bottom w:val="none" w:sz="0" w:space="0" w:color="auto"/>
        <w:right w:val="none" w:sz="0" w:space="0" w:color="auto"/>
      </w:divBdr>
    </w:div>
    <w:div w:id="1180048486">
      <w:bodyDiv w:val="1"/>
      <w:marLeft w:val="0"/>
      <w:marRight w:val="0"/>
      <w:marTop w:val="0"/>
      <w:marBottom w:val="0"/>
      <w:divBdr>
        <w:top w:val="none" w:sz="0" w:space="0" w:color="auto"/>
        <w:left w:val="none" w:sz="0" w:space="0" w:color="auto"/>
        <w:bottom w:val="none" w:sz="0" w:space="0" w:color="auto"/>
        <w:right w:val="none" w:sz="0" w:space="0" w:color="auto"/>
      </w:divBdr>
    </w:div>
    <w:div w:id="1348215412">
      <w:bodyDiv w:val="1"/>
      <w:marLeft w:val="0"/>
      <w:marRight w:val="0"/>
      <w:marTop w:val="0"/>
      <w:marBottom w:val="0"/>
      <w:divBdr>
        <w:top w:val="none" w:sz="0" w:space="0" w:color="auto"/>
        <w:left w:val="none" w:sz="0" w:space="0" w:color="auto"/>
        <w:bottom w:val="none" w:sz="0" w:space="0" w:color="auto"/>
        <w:right w:val="none" w:sz="0" w:space="0" w:color="auto"/>
      </w:divBdr>
    </w:div>
    <w:div w:id="18972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pdf/empsit.pdf" TargetMode="External"/><Relationship Id="rId2" Type="http://schemas.openxmlformats.org/officeDocument/2006/relationships/hyperlink" Target="http://www.smithsonianmag.com/smart-news/when-you-dont-have-enough-money-its-hard-to-think-about-anything-else-3162408/" TargetMode="External"/><Relationship Id="rId1" Type="http://schemas.openxmlformats.org/officeDocument/2006/relationships/hyperlink" Target="http://research.stlouisfed.org/fred2/series/NROU" TargetMode="External"/><Relationship Id="rId4" Type="http://schemas.openxmlformats.org/officeDocument/2006/relationships/hyperlink" Target="http://www.bls.gov/jlt/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7E903-B025-45F8-A821-D9BC953C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7</Pages>
  <Words>2051</Words>
  <Characters>10311</Characters>
  <Application>Microsoft Office Word</Application>
  <DocSecurity>0</DocSecurity>
  <Lines>245</Lines>
  <Paragraphs>138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60</cp:revision>
  <cp:lastPrinted>2011-09-11T03:11:00Z</cp:lastPrinted>
  <dcterms:created xsi:type="dcterms:W3CDTF">2012-06-15T18:19:00Z</dcterms:created>
  <dcterms:modified xsi:type="dcterms:W3CDTF">2015-08-11T01:38:00Z</dcterms:modified>
</cp:coreProperties>
</file>